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A36F5" w14:textId="77777777" w:rsidR="00767DB1" w:rsidRDefault="00767DB1" w:rsidP="009F67BA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</w:p>
    <w:p w14:paraId="5930FCD8" w14:textId="77777777" w:rsidR="00767DB1" w:rsidRDefault="00767DB1" w:rsidP="009F67BA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</w:p>
    <w:p w14:paraId="68CD600C" w14:textId="77777777" w:rsidR="00767DB1" w:rsidRDefault="00767DB1" w:rsidP="009F67BA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</w:p>
    <w:p w14:paraId="283B2461" w14:textId="77777777" w:rsidR="00767DB1" w:rsidRDefault="00767DB1" w:rsidP="00767DB1">
      <w:pPr>
        <w:keepNext/>
        <w:ind w:left="6480" w:firstLine="720"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  <w:r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  <w:t>Nr. 14608/25.02.2019</w:t>
      </w:r>
    </w:p>
    <w:p w14:paraId="1C9BFB46" w14:textId="77777777" w:rsidR="00767DB1" w:rsidRDefault="00767DB1" w:rsidP="009F67BA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</w:p>
    <w:p w14:paraId="089E966B" w14:textId="7FEF5BA6" w:rsidR="009F67BA" w:rsidRDefault="00D77142" w:rsidP="009F67BA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  <w:r w:rsidRPr="007C000B"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  <w:t>RASPUNS Solicitare de clarificari</w:t>
      </w:r>
    </w:p>
    <w:p w14:paraId="36A8A715" w14:textId="77777777" w:rsidR="00C825A2" w:rsidRDefault="00C825A2" w:rsidP="00C825A2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7F3431">
        <w:rPr>
          <w:rFonts w:ascii="Trebuchet MS" w:hAnsi="Trebuchet MS"/>
          <w:b/>
          <w:bCs/>
          <w:sz w:val="22"/>
          <w:szCs w:val="22"/>
        </w:rPr>
        <w:t>Acord-cadru pentru achiziționarea serviciilor de medicina muncii pentru personalul Ministerului Fondurilor Europene pentru perioada 2019-2021</w:t>
      </w:r>
    </w:p>
    <w:p w14:paraId="422F9660" w14:textId="77777777" w:rsidR="00C825A2" w:rsidRPr="009F67BA" w:rsidRDefault="00C825A2" w:rsidP="009F67BA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184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87"/>
        <w:gridCol w:w="2742"/>
      </w:tblGrid>
      <w:tr w:rsidR="00BC61C2" w:rsidRPr="007C000B" w14:paraId="4E6867FC" w14:textId="77777777" w:rsidTr="009F67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E1FF" w14:textId="7A253027" w:rsidR="00D77142" w:rsidRPr="007C000B" w:rsidRDefault="00D77142" w:rsidP="00E9291B">
            <w:pPr>
              <w:tabs>
                <w:tab w:val="left" w:pos="175"/>
              </w:tabs>
              <w:ind w:right="29"/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</w:pPr>
            <w:r w:rsidRPr="007C000B"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  <w:t>Nr. crt.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DAF8" w14:textId="77777777" w:rsidR="00D77142" w:rsidRPr="007C000B" w:rsidRDefault="00D77142" w:rsidP="00E9291B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</w:pPr>
            <w:r w:rsidRPr="007C000B"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  <w:t>Întrebări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FBB7" w14:textId="77777777" w:rsidR="00D77142" w:rsidRPr="007C000B" w:rsidRDefault="00D77142" w:rsidP="00E9291B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</w:pPr>
            <w:r w:rsidRPr="007C000B"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  <w:t>Răspunsuri</w:t>
            </w:r>
          </w:p>
        </w:tc>
      </w:tr>
      <w:tr w:rsidR="00BC61C2" w:rsidRPr="007C000B" w14:paraId="0AA32597" w14:textId="77777777" w:rsidTr="009F67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DBE6" w14:textId="77777777" w:rsidR="00D77142" w:rsidRPr="007C000B" w:rsidRDefault="00D77142" w:rsidP="00E9291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right="29"/>
              <w:rPr>
                <w:rFonts w:ascii="Trebuchet MS" w:hAnsi="Trebuchet MS" w:cs="Times New Roman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202" w14:textId="77777777" w:rsidR="007C000B" w:rsidRPr="007C000B" w:rsidRDefault="007C000B" w:rsidP="007C000B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C000B">
              <w:rPr>
                <w:rFonts w:ascii="Trebuchet MS" w:hAnsi="Trebuchet MS"/>
                <w:sz w:val="22"/>
                <w:szCs w:val="22"/>
              </w:rPr>
              <w:t xml:space="preserve">Conform legilor aflate in vigoare cu reglementările legale cuprinse în Legea nr. 53/2003 – Codul muncii Titlul V, Legea 319/2006 cap. V, Normele metodologice de aplicare a prevederilor Legii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securităţii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sănătăţii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în muncă nr. 319/2006, aprobate prin H.G nr. 1425/2006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H.G. nr. 355/2007 privind supravegherea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sănătăţii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lucrătorilor, toate actele normative având modificări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completări ulterioare,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functiile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prevazute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in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documentatie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nu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prevad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si recoltarea setului de analize de mai jos:</w:t>
            </w:r>
          </w:p>
          <w:p w14:paraId="29E3C72B" w14:textId="77777777" w:rsidR="007C000B" w:rsidRPr="007C000B" w:rsidRDefault="007C000B" w:rsidP="007C000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25C7831" w14:textId="77777777" w:rsidR="007C000B" w:rsidRPr="007C000B" w:rsidRDefault="007C000B" w:rsidP="009F67BA">
            <w:pPr>
              <w:ind w:right="45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Analizele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laborator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vor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cuprinde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cel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puţin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:</w:t>
            </w:r>
          </w:p>
          <w:p w14:paraId="507BB2C9" w14:textId="77777777" w:rsidR="007C000B" w:rsidRPr="007C000B" w:rsidRDefault="007C000B" w:rsidP="009F67BA">
            <w:pPr>
              <w:pStyle w:val="ListParagraph"/>
              <w:ind w:right="45" w:hanging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C000B">
              <w:rPr>
                <w:sz w:val="22"/>
                <w:szCs w:val="22"/>
              </w:rPr>
              <w:t>‒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       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Hemoleucograma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completă</w:t>
            </w:r>
            <w:proofErr w:type="spellEnd"/>
          </w:p>
          <w:p w14:paraId="3486B1B2" w14:textId="77777777" w:rsidR="007C000B" w:rsidRPr="007C000B" w:rsidRDefault="007C000B" w:rsidP="009F67BA">
            <w:pPr>
              <w:pStyle w:val="ListParagraph"/>
              <w:ind w:right="45" w:hanging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C000B">
              <w:rPr>
                <w:sz w:val="22"/>
                <w:szCs w:val="22"/>
              </w:rPr>
              <w:t>‒</w:t>
            </w:r>
            <w:r w:rsidRPr="007C000B">
              <w:rPr>
                <w:rFonts w:ascii="Trebuchet MS" w:hAnsi="Trebuchet MS"/>
                <w:sz w:val="22"/>
                <w:szCs w:val="22"/>
              </w:rPr>
              <w:t>        VSH</w:t>
            </w:r>
          </w:p>
          <w:p w14:paraId="2E5BC9FD" w14:textId="77777777" w:rsidR="007C000B" w:rsidRPr="007C000B" w:rsidRDefault="007C000B" w:rsidP="009F67BA">
            <w:pPr>
              <w:pStyle w:val="ListParagraph"/>
              <w:ind w:right="45" w:hanging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C000B">
              <w:rPr>
                <w:sz w:val="22"/>
                <w:szCs w:val="22"/>
              </w:rPr>
              <w:t>‒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       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Transaminaze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TGP+TGO</w:t>
            </w:r>
          </w:p>
          <w:p w14:paraId="1260BDF6" w14:textId="77777777" w:rsidR="007C000B" w:rsidRPr="007C000B" w:rsidRDefault="007C000B" w:rsidP="009F67BA">
            <w:pPr>
              <w:pStyle w:val="ListParagraph"/>
              <w:ind w:right="45" w:hanging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C000B">
              <w:rPr>
                <w:sz w:val="22"/>
                <w:szCs w:val="22"/>
              </w:rPr>
              <w:t>‒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       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Colesterol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seric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total</w:t>
            </w:r>
          </w:p>
          <w:p w14:paraId="2464520C" w14:textId="77777777" w:rsidR="007C000B" w:rsidRPr="007C000B" w:rsidRDefault="007C000B" w:rsidP="009F67BA">
            <w:pPr>
              <w:pStyle w:val="ListParagraph"/>
              <w:ind w:right="45" w:hanging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C000B">
              <w:rPr>
                <w:sz w:val="22"/>
                <w:szCs w:val="22"/>
              </w:rPr>
              <w:t>‒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       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Trigliceride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serice</w:t>
            </w:r>
            <w:proofErr w:type="spellEnd"/>
          </w:p>
          <w:p w14:paraId="37AC5B5F" w14:textId="77777777" w:rsidR="007C000B" w:rsidRPr="007C000B" w:rsidRDefault="007C000B" w:rsidP="009F67BA">
            <w:pPr>
              <w:pStyle w:val="ListParagraph"/>
              <w:ind w:right="45" w:hanging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C000B">
              <w:rPr>
                <w:sz w:val="22"/>
                <w:szCs w:val="22"/>
              </w:rPr>
              <w:t>‒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       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Glicemie</w:t>
            </w:r>
            <w:proofErr w:type="spellEnd"/>
          </w:p>
          <w:p w14:paraId="6A3A0A26" w14:textId="77777777" w:rsidR="007C000B" w:rsidRPr="007C000B" w:rsidRDefault="007C000B" w:rsidP="009F67BA">
            <w:pPr>
              <w:pStyle w:val="ListParagraph"/>
              <w:ind w:right="45" w:hanging="3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C000B">
              <w:rPr>
                <w:sz w:val="22"/>
                <w:szCs w:val="22"/>
              </w:rPr>
              <w:t>‒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       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Calciu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seric</w:t>
            </w:r>
            <w:proofErr w:type="spellEnd"/>
          </w:p>
          <w:p w14:paraId="1DE9E857" w14:textId="028E7CF1" w:rsidR="00D77142" w:rsidRPr="007C000B" w:rsidRDefault="007C000B" w:rsidP="007C000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Doriti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mentinerea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acestor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servicii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propunerea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oferta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desi nu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sunt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incluse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sub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spectrul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Medicina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Muncii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?</w:t>
            </w:r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6A8" w14:textId="2C158540" w:rsidR="00AD75CE" w:rsidRPr="007C000B" w:rsidRDefault="007C000B" w:rsidP="0027658D">
            <w:pPr>
              <w:pStyle w:val="PlainText"/>
              <w:rPr>
                <w:rFonts w:ascii="Trebuchet MS" w:hAnsi="Trebuchet MS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>Autoritatea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>contractanta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>isi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>mentine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>cerintele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>mentionate</w:t>
            </w:r>
            <w:proofErr w:type="spellEnd"/>
            <w:r w:rsidR="00C825A2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in </w:t>
            </w:r>
            <w:proofErr w:type="spellStart"/>
            <w:r w:rsidR="00C825A2">
              <w:rPr>
                <w:rFonts w:ascii="Trebuchet MS" w:hAnsi="Trebuchet MS" w:cs="Times New Roman"/>
                <w:color w:val="000000" w:themeColor="text1"/>
                <w:szCs w:val="22"/>
              </w:rPr>
              <w:t>caietul</w:t>
            </w:r>
            <w:proofErr w:type="spellEnd"/>
            <w:r w:rsidR="00C825A2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de </w:t>
            </w:r>
            <w:proofErr w:type="spellStart"/>
            <w:r w:rsidR="00C825A2">
              <w:rPr>
                <w:rFonts w:ascii="Trebuchet MS" w:hAnsi="Trebuchet MS" w:cs="Times New Roman"/>
                <w:color w:val="000000" w:themeColor="text1"/>
                <w:szCs w:val="22"/>
              </w:rPr>
              <w:t>sarcini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>.</w:t>
            </w:r>
          </w:p>
        </w:tc>
      </w:tr>
      <w:tr w:rsidR="00BC61C2" w:rsidRPr="007C000B" w14:paraId="6E5C5A9D" w14:textId="77777777" w:rsidTr="009F67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B11" w14:textId="75350A59" w:rsidR="00D77142" w:rsidRPr="007C000B" w:rsidRDefault="00D77142" w:rsidP="00E9291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right="29"/>
              <w:rPr>
                <w:rFonts w:ascii="Trebuchet MS" w:hAnsi="Trebuchet MS" w:cs="Times New Roman"/>
                <w:color w:val="000000" w:themeColor="text1"/>
                <w:sz w:val="22"/>
                <w:szCs w:val="22"/>
                <w:lang w:val="ro-RO"/>
              </w:rPr>
            </w:pPr>
            <w:r w:rsidRPr="007C000B">
              <w:rPr>
                <w:rFonts w:ascii="Trebuchet MS" w:hAnsi="Trebuchet MS" w:cs="Times New Roman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B55" w14:textId="67B5536F" w:rsidR="007C000B" w:rsidRPr="007C000B" w:rsidRDefault="007C000B" w:rsidP="007C000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7C000B">
              <w:rPr>
                <w:rFonts w:ascii="Trebuchet MS" w:hAnsi="Trebuchet MS"/>
                <w:sz w:val="22"/>
                <w:szCs w:val="22"/>
              </w:rPr>
              <w:t xml:space="preserve">Anexa la Formularul de oferta –Formularul Nr. 4. – la categoriile de servicii sunt cuprinse doar 2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casute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>, mai exact pentru:</w:t>
            </w:r>
          </w:p>
          <w:p w14:paraId="15440DDC" w14:textId="77777777" w:rsidR="007C000B" w:rsidRPr="007C000B" w:rsidRDefault="007C000B" w:rsidP="007C000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-      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Posturi de conducere/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execuţie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C000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(exclusiv </w:t>
            </w:r>
            <w:proofErr w:type="spellStart"/>
            <w:r w:rsidRPr="007C000B">
              <w:rPr>
                <w:rFonts w:ascii="Trebuchet MS" w:hAnsi="Trebuchet MS"/>
                <w:b/>
                <w:bCs/>
                <w:sz w:val="22"/>
                <w:szCs w:val="22"/>
              </w:rPr>
              <w:t>şoferi</w:t>
            </w:r>
            <w:proofErr w:type="spellEnd"/>
            <w:r w:rsidRPr="007C000B">
              <w:rPr>
                <w:rFonts w:ascii="Trebuchet MS" w:hAnsi="Trebuchet MS"/>
                <w:b/>
                <w:bCs/>
                <w:sz w:val="22"/>
                <w:szCs w:val="22"/>
              </w:rPr>
              <w:t>)/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 demnitate publică/ înalți funcționari publici</w:t>
            </w:r>
          </w:p>
          <w:p w14:paraId="4F65A028" w14:textId="423F664A" w:rsidR="007C000B" w:rsidRPr="007C000B" w:rsidRDefault="007C000B" w:rsidP="007C000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7C000B">
              <w:rPr>
                <w:rFonts w:ascii="Trebuchet MS" w:hAnsi="Trebuchet MS"/>
                <w:sz w:val="22"/>
                <w:szCs w:val="22"/>
              </w:rPr>
              <w:t xml:space="preserve">-      </w:t>
            </w:r>
            <w:proofErr w:type="spellStart"/>
            <w:r w:rsidRPr="007C000B">
              <w:rPr>
                <w:rFonts w:ascii="Trebuchet MS" w:hAnsi="Trebuchet MS"/>
                <w:b/>
                <w:bCs/>
                <w:sz w:val="22"/>
                <w:szCs w:val="22"/>
              </w:rPr>
              <w:t>Soferi</w:t>
            </w:r>
            <w:proofErr w:type="spellEnd"/>
          </w:p>
          <w:p w14:paraId="7B9AB56C" w14:textId="069EB10F" w:rsidR="007C000B" w:rsidRPr="007C000B" w:rsidRDefault="007C000B" w:rsidP="007C000B">
            <w:pPr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Mentionez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ca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pentru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cele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doua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functii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: 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Posturi de conducere si Posturi de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execuţie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C000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(exclusiv </w:t>
            </w:r>
            <w:proofErr w:type="spellStart"/>
            <w:r w:rsidRPr="007C000B">
              <w:rPr>
                <w:rFonts w:ascii="Trebuchet MS" w:hAnsi="Trebuchet MS"/>
                <w:b/>
                <w:bCs/>
                <w:sz w:val="22"/>
                <w:szCs w:val="22"/>
              </w:rPr>
              <w:t>şoferi</w:t>
            </w:r>
            <w:proofErr w:type="spellEnd"/>
            <w:r w:rsidRPr="007C000B">
              <w:rPr>
                <w:rFonts w:ascii="Trebuchet MS" w:hAnsi="Trebuchet MS"/>
                <w:b/>
                <w:bCs/>
                <w:sz w:val="22"/>
                <w:szCs w:val="22"/>
              </w:rPr>
              <w:t>)/</w:t>
            </w:r>
            <w:r w:rsidRPr="007C000B">
              <w:rPr>
                <w:rFonts w:ascii="Trebuchet MS" w:hAnsi="Trebuchet MS"/>
                <w:sz w:val="22"/>
                <w:szCs w:val="22"/>
              </w:rPr>
              <w:t xml:space="preserve"> demnitate publică/ înalți funcționari publici se vor emite doua preturi diferite. Acest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lucrur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se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datoreaza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 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efectuarii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</w:rPr>
              <w:t>investigatii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</w:rPr>
              <w:t xml:space="preserve"> suplimentare (ex. Psihologic) pentru Posturile de conducere.</w:t>
            </w:r>
          </w:p>
          <w:p w14:paraId="73A89297" w14:textId="7177B002" w:rsidR="00D77142" w:rsidRPr="007C000B" w:rsidRDefault="007C000B" w:rsidP="007C000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Ne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puteti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clarifica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privind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aceasta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situatie</w:t>
            </w:r>
            <w:proofErr w:type="spellEnd"/>
            <w:r w:rsidRPr="007C000B">
              <w:rPr>
                <w:rFonts w:ascii="Trebuchet MS" w:hAnsi="Trebuchet MS"/>
                <w:sz w:val="22"/>
                <w:szCs w:val="22"/>
                <w:lang w:val="en-GB"/>
              </w:rPr>
              <w:t>?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27C" w14:textId="671C7195" w:rsidR="00D77142" w:rsidRPr="007C000B" w:rsidRDefault="007C000B" w:rsidP="007C000B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Conform </w:t>
            </w:r>
            <w:proofErr w:type="spell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cerintelor</w:t>
            </w:r>
            <w:proofErr w:type="spell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caietului de sarcini se solicita </w:t>
            </w:r>
            <w:proofErr w:type="spell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aceleasi</w:t>
            </w:r>
            <w:proofErr w:type="spell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tipuri de servicii, </w:t>
            </w:r>
            <w:proofErr w:type="spell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atat</w:t>
            </w:r>
            <w:proofErr w:type="spell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pentru personalul de </w:t>
            </w:r>
            <w:proofErr w:type="spell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executie</w:t>
            </w:r>
            <w:proofErr w:type="spell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, cat si pentru cel de conducere (inclusiv examenul psihologic). Ca atare se va oferta un singur </w:t>
            </w:r>
            <w:proofErr w:type="spell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pret</w:t>
            </w:r>
            <w:proofErr w:type="spellEnd"/>
            <w:r w:rsidR="00C825A2">
              <w:rPr>
                <w:rFonts w:ascii="Trebuchet MS" w:hAnsi="Trebuchet MS"/>
                <w:color w:val="000000" w:themeColor="text1"/>
                <w:sz w:val="22"/>
                <w:szCs w:val="22"/>
              </w:rPr>
              <w:t>, conform anexei la formularul de oferta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7D074F2E" w14:textId="77777777" w:rsidR="007C000B" w:rsidRPr="007C000B" w:rsidRDefault="007C000B" w:rsidP="00E9291B">
      <w:pPr>
        <w:jc w:val="center"/>
        <w:rPr>
          <w:rFonts w:ascii="Trebuchet MS" w:hAnsi="Trebuchet MS" w:cs="Times New Roman"/>
          <w:b/>
          <w:color w:val="000000" w:themeColor="text1"/>
          <w:sz w:val="22"/>
          <w:szCs w:val="22"/>
        </w:rPr>
      </w:pPr>
    </w:p>
    <w:sectPr w:rsidR="007C000B" w:rsidRPr="007C000B" w:rsidSect="005A3E0F">
      <w:headerReference w:type="default" r:id="rId7"/>
      <w:footerReference w:type="default" r:id="rId8"/>
      <w:pgSz w:w="11900" w:h="16840"/>
      <w:pgMar w:top="1417" w:right="843" w:bottom="709" w:left="566" w:header="561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7D67" w14:textId="77777777" w:rsidR="001B51B1" w:rsidRDefault="001B51B1" w:rsidP="00676A7A">
      <w:r>
        <w:separator/>
      </w:r>
    </w:p>
  </w:endnote>
  <w:endnote w:type="continuationSeparator" w:id="0">
    <w:p w14:paraId="6EA39BA7" w14:textId="77777777" w:rsidR="001B51B1" w:rsidRDefault="001B51B1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A49D" w14:textId="0CC3872A" w:rsidR="006E6F27" w:rsidRPr="005A3E0F" w:rsidRDefault="007202F4" w:rsidP="006E6F27">
    <w:pPr>
      <w:pStyle w:val="Footer"/>
      <w:ind w:left="1701"/>
      <w:rPr>
        <w:rFonts w:ascii="Trebuchet MS" w:hAnsi="Trebuchet MS"/>
        <w:sz w:val="12"/>
        <w:szCs w:val="12"/>
      </w:rPr>
    </w:pPr>
    <w:r w:rsidRPr="005A3E0F">
      <w:rPr>
        <w:rFonts w:ascii="Trebuchet MS" w:hAnsi="Trebuchet MS"/>
        <w:sz w:val="12"/>
        <w:szCs w:val="12"/>
      </w:rPr>
      <w:t>Bd. Ion Mihalache, nr. 15-17</w:t>
    </w:r>
    <w:r w:rsidR="006E7BD6" w:rsidRPr="005A3E0F">
      <w:rPr>
        <w:rFonts w:ascii="Trebuchet MS" w:hAnsi="Trebuchet MS"/>
        <w:sz w:val="12"/>
        <w:szCs w:val="12"/>
      </w:rPr>
      <w:t>, Sector 1</w:t>
    </w:r>
    <w:r w:rsidR="006E6F27" w:rsidRPr="005A3E0F">
      <w:rPr>
        <w:rFonts w:ascii="Trebuchet MS" w:hAnsi="Trebuchet MS"/>
        <w:sz w:val="12"/>
        <w:szCs w:val="12"/>
      </w:rPr>
      <w:t>, București</w:t>
    </w:r>
    <w:r w:rsidR="006E6F27" w:rsidRPr="005A3E0F">
      <w:rPr>
        <w:rFonts w:ascii="Trebuchet MS" w:hAnsi="Trebuchet MS"/>
        <w:sz w:val="12"/>
        <w:szCs w:val="12"/>
      </w:rPr>
      <w:tab/>
    </w:r>
  </w:p>
  <w:p w14:paraId="3BC518F4" w14:textId="23C80AAC" w:rsidR="006E6F27" w:rsidRPr="005A3E0F" w:rsidRDefault="001B51B1" w:rsidP="005A3E0F">
    <w:pPr>
      <w:pStyle w:val="Footer"/>
      <w:ind w:left="1701"/>
      <w:rPr>
        <w:rFonts w:ascii="Trebuchet MS" w:hAnsi="Trebuchet MS"/>
        <w:sz w:val="12"/>
        <w:szCs w:val="12"/>
      </w:rPr>
    </w:pPr>
    <w:hyperlink r:id="rId1" w:history="1">
      <w:r w:rsidR="005A3E0F" w:rsidRPr="005A3E0F">
        <w:rPr>
          <w:rStyle w:val="Hyperlink"/>
          <w:rFonts w:ascii="Trebuchet MS" w:hAnsi="Trebuchet MS"/>
          <w:sz w:val="12"/>
          <w:szCs w:val="12"/>
        </w:rPr>
        <w:t>www.fonduri-ue.ro</w:t>
      </w:r>
    </w:hyperlink>
    <w:r w:rsidR="005A3E0F" w:rsidRPr="005A3E0F">
      <w:rPr>
        <w:rFonts w:ascii="Trebuchet MS" w:hAnsi="Trebuchet MS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95B6" w14:textId="77777777" w:rsidR="001B51B1" w:rsidRDefault="001B51B1" w:rsidP="00676A7A">
      <w:r>
        <w:separator/>
      </w:r>
    </w:p>
  </w:footnote>
  <w:footnote w:type="continuationSeparator" w:id="0">
    <w:p w14:paraId="66186417" w14:textId="77777777" w:rsidR="001B51B1" w:rsidRDefault="001B51B1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27A2" w14:textId="2DF25C66" w:rsidR="00676A7A" w:rsidRDefault="008E5F33">
    <w:pPr>
      <w:pStyle w:val="Header"/>
    </w:pPr>
    <w:r>
      <w:rPr>
        <w:noProof/>
        <w:lang w:eastAsia="ro-RO"/>
      </w:rPr>
      <w:drawing>
        <wp:inline distT="0" distB="0" distL="0" distR="0" wp14:anchorId="45CF8215" wp14:editId="7AF63E8E">
          <wp:extent cx="7021195" cy="1019175"/>
          <wp:effectExtent l="0" t="0" r="825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ul fonduri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2260"/>
    <w:multiLevelType w:val="hybridMultilevel"/>
    <w:tmpl w:val="43BC0F5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BE8"/>
    <w:multiLevelType w:val="hybridMultilevel"/>
    <w:tmpl w:val="AC1C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4D4F"/>
    <w:multiLevelType w:val="hybridMultilevel"/>
    <w:tmpl w:val="87B4A4F8"/>
    <w:lvl w:ilvl="0" w:tplc="FC421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1822"/>
    <w:multiLevelType w:val="hybridMultilevel"/>
    <w:tmpl w:val="AC1C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D5E7B"/>
    <w:multiLevelType w:val="hybridMultilevel"/>
    <w:tmpl w:val="AC1C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A"/>
    <w:rsid w:val="0003398B"/>
    <w:rsid w:val="0005322C"/>
    <w:rsid w:val="00066AAA"/>
    <w:rsid w:val="000762D0"/>
    <w:rsid w:val="00082614"/>
    <w:rsid w:val="000A4F11"/>
    <w:rsid w:val="00132A7D"/>
    <w:rsid w:val="001A2EBB"/>
    <w:rsid w:val="001B51B1"/>
    <w:rsid w:val="00227AAD"/>
    <w:rsid w:val="00263283"/>
    <w:rsid w:val="00264CFF"/>
    <w:rsid w:val="00273B96"/>
    <w:rsid w:val="0027658D"/>
    <w:rsid w:val="002E7298"/>
    <w:rsid w:val="002F29A6"/>
    <w:rsid w:val="00312C67"/>
    <w:rsid w:val="003314F4"/>
    <w:rsid w:val="00384218"/>
    <w:rsid w:val="003B2D68"/>
    <w:rsid w:val="003C5DDB"/>
    <w:rsid w:val="003D196C"/>
    <w:rsid w:val="003E29F8"/>
    <w:rsid w:val="003F4769"/>
    <w:rsid w:val="00444D15"/>
    <w:rsid w:val="00453CF3"/>
    <w:rsid w:val="004B5C4D"/>
    <w:rsid w:val="004D6AA3"/>
    <w:rsid w:val="00527147"/>
    <w:rsid w:val="00593629"/>
    <w:rsid w:val="005A3E0F"/>
    <w:rsid w:val="005D6560"/>
    <w:rsid w:val="005E0EA3"/>
    <w:rsid w:val="00657880"/>
    <w:rsid w:val="00676A7A"/>
    <w:rsid w:val="006C2631"/>
    <w:rsid w:val="006C346C"/>
    <w:rsid w:val="006E1338"/>
    <w:rsid w:val="006E6F27"/>
    <w:rsid w:val="006E7BD6"/>
    <w:rsid w:val="006F3DF1"/>
    <w:rsid w:val="00710BF4"/>
    <w:rsid w:val="007202F4"/>
    <w:rsid w:val="00723ADF"/>
    <w:rsid w:val="00743D4E"/>
    <w:rsid w:val="00747183"/>
    <w:rsid w:val="00767DB1"/>
    <w:rsid w:val="007C000B"/>
    <w:rsid w:val="008A3530"/>
    <w:rsid w:val="008B10DE"/>
    <w:rsid w:val="008C3E5D"/>
    <w:rsid w:val="008E5F33"/>
    <w:rsid w:val="009023D8"/>
    <w:rsid w:val="009104BC"/>
    <w:rsid w:val="009C524A"/>
    <w:rsid w:val="009D1AC3"/>
    <w:rsid w:val="009F67BA"/>
    <w:rsid w:val="00A34878"/>
    <w:rsid w:val="00A62045"/>
    <w:rsid w:val="00A74E55"/>
    <w:rsid w:val="00A860B7"/>
    <w:rsid w:val="00AA1547"/>
    <w:rsid w:val="00AD75CE"/>
    <w:rsid w:val="00AE77D6"/>
    <w:rsid w:val="00B02003"/>
    <w:rsid w:val="00B30E98"/>
    <w:rsid w:val="00B35EC6"/>
    <w:rsid w:val="00B43F47"/>
    <w:rsid w:val="00B70C48"/>
    <w:rsid w:val="00BA1062"/>
    <w:rsid w:val="00BC61C2"/>
    <w:rsid w:val="00BF44DE"/>
    <w:rsid w:val="00C01C99"/>
    <w:rsid w:val="00C145A7"/>
    <w:rsid w:val="00C33B75"/>
    <w:rsid w:val="00C825A2"/>
    <w:rsid w:val="00CA510C"/>
    <w:rsid w:val="00CD07B9"/>
    <w:rsid w:val="00D564DA"/>
    <w:rsid w:val="00D56D2D"/>
    <w:rsid w:val="00D77142"/>
    <w:rsid w:val="00E77C6B"/>
    <w:rsid w:val="00E9291B"/>
    <w:rsid w:val="00EC001D"/>
    <w:rsid w:val="00ED44B5"/>
    <w:rsid w:val="00ED7E0E"/>
    <w:rsid w:val="00F12556"/>
    <w:rsid w:val="00F20CE1"/>
    <w:rsid w:val="00F32EAB"/>
    <w:rsid w:val="00F67D11"/>
    <w:rsid w:val="00F82B59"/>
    <w:rsid w:val="00FD220E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504DE"/>
  <w14:defaultImageDpi w14:val="32767"/>
  <w15:docId w15:val="{D71FFC01-F77E-4127-834A-53720D49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F4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Forth level,Heading x1,body 2,List Paragraph11"/>
    <w:basedOn w:val="Normal"/>
    <w:link w:val="ListParagraphChar"/>
    <w:uiPriority w:val="34"/>
    <w:qFormat/>
    <w:rsid w:val="00D77142"/>
    <w:pPr>
      <w:ind w:left="720"/>
      <w:contextualSpacing/>
    </w:pPr>
    <w:rPr>
      <w:rFonts w:ascii="Arial" w:eastAsia="Times New Roman" w:hAnsi="Arial" w:cs="Arial"/>
      <w:lang w:val="en-GB"/>
    </w:rPr>
  </w:style>
  <w:style w:type="character" w:customStyle="1" w:styleId="ListParagraphChar">
    <w:name w:val="List Paragraph Char"/>
    <w:aliases w:val="Normal bullet 2 Char,List Paragraph1 Char,Forth level Char,Heading x1 Char,body 2 Char,List Paragraph11 Char"/>
    <w:basedOn w:val="DefaultParagraphFont"/>
    <w:link w:val="ListParagraph"/>
    <w:uiPriority w:val="34"/>
    <w:locked/>
    <w:rsid w:val="005D6560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8B10DE"/>
    <w:rPr>
      <w:rFonts w:ascii="Calibr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10DE"/>
    <w:rPr>
      <w:rFonts w:ascii="Calibri" w:hAnsi="Calibri" w:cs="Consolas"/>
      <w:sz w:val="22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08261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082614"/>
    <w:rPr>
      <w:b/>
      <w:bCs/>
    </w:rPr>
  </w:style>
  <w:style w:type="character" w:styleId="Emphasis">
    <w:name w:val="Emphasis"/>
    <w:basedOn w:val="DefaultParagraphFont"/>
    <w:uiPriority w:val="20"/>
    <w:qFormat/>
    <w:rsid w:val="0008261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2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0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03"/>
    <w:rPr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5A3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uri-u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Mirela Zoia</cp:lastModifiedBy>
  <cp:revision>3</cp:revision>
  <cp:lastPrinted>2019-02-25T14:27:00Z</cp:lastPrinted>
  <dcterms:created xsi:type="dcterms:W3CDTF">2019-02-25T14:32:00Z</dcterms:created>
  <dcterms:modified xsi:type="dcterms:W3CDTF">2019-02-25T14:33:00Z</dcterms:modified>
</cp:coreProperties>
</file>