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965" w:rsidRPr="00D34362" w:rsidRDefault="005F6F66" w:rsidP="003930CF">
      <w:pPr>
        <w:jc w:val="center"/>
        <w:rPr>
          <w:b/>
          <w:u w:val="single"/>
          <w:lang w:val="ro-RO"/>
        </w:rPr>
      </w:pPr>
      <w:bookmarkStart w:id="0" w:name="_GoBack"/>
      <w:bookmarkEnd w:id="0"/>
      <w:r w:rsidRPr="00D34362">
        <w:rPr>
          <w:b/>
          <w:u w:val="single"/>
          <w:lang w:val="ro-RO"/>
        </w:rPr>
        <w:t>NOTĂ DE FUNDAMENTARE</w:t>
      </w: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8"/>
        <w:gridCol w:w="183"/>
        <w:gridCol w:w="1405"/>
        <w:gridCol w:w="797"/>
        <w:gridCol w:w="87"/>
        <w:gridCol w:w="1080"/>
        <w:gridCol w:w="900"/>
        <w:gridCol w:w="1175"/>
        <w:gridCol w:w="2080"/>
        <w:gridCol w:w="16"/>
        <w:gridCol w:w="30"/>
      </w:tblGrid>
      <w:tr w:rsidR="00D34362" w:rsidRPr="00D34362">
        <w:trPr>
          <w:gridAfter w:val="1"/>
          <w:wAfter w:w="30" w:type="dxa"/>
          <w:trHeight w:val="536"/>
        </w:trPr>
        <w:tc>
          <w:tcPr>
            <w:tcW w:w="10471" w:type="dxa"/>
            <w:gridSpan w:val="10"/>
            <w:shd w:val="clear" w:color="auto" w:fill="auto"/>
          </w:tcPr>
          <w:p w:rsidR="009C328A" w:rsidRPr="00D34362" w:rsidRDefault="009C328A" w:rsidP="00697673">
            <w:pPr>
              <w:rPr>
                <w:b/>
                <w:bCs/>
                <w:lang w:val="ro-RO"/>
              </w:rPr>
            </w:pPr>
          </w:p>
          <w:p w:rsidR="00697673" w:rsidRPr="00D34362" w:rsidRDefault="00BE7CAC" w:rsidP="00697673">
            <w:pPr>
              <w:rPr>
                <w:b/>
                <w:bCs/>
                <w:lang w:val="ro-RO"/>
              </w:rPr>
            </w:pPr>
            <w:r w:rsidRPr="00D34362">
              <w:rPr>
                <w:b/>
                <w:bCs/>
                <w:lang w:val="ro-RO"/>
              </w:rPr>
              <w:t>Secţiunea 1: Titlul prezentului act normativ</w:t>
            </w:r>
          </w:p>
          <w:p w:rsidR="00082B66" w:rsidRPr="00D34362" w:rsidRDefault="006065C0" w:rsidP="00D34362">
            <w:pPr>
              <w:rPr>
                <w:lang w:val="ro-RO"/>
              </w:rPr>
            </w:pPr>
            <w:r w:rsidRPr="00D34362">
              <w:rPr>
                <w:b/>
                <w:bCs/>
                <w:i/>
                <w:lang w:val="ro-RO"/>
              </w:rPr>
              <w:t xml:space="preserve">Hotărâre </w:t>
            </w:r>
            <w:r w:rsidR="00762B48" w:rsidRPr="00D34362">
              <w:rPr>
                <w:b/>
                <w:bCs/>
                <w:i/>
                <w:lang w:val="ro-RO"/>
              </w:rPr>
              <w:t>a</w:t>
            </w:r>
            <w:r w:rsidRPr="00D34362">
              <w:rPr>
                <w:b/>
                <w:bCs/>
                <w:i/>
                <w:lang w:val="ro-RO"/>
              </w:rPr>
              <w:t xml:space="preserve"> Guvern</w:t>
            </w:r>
            <w:r w:rsidR="00762B48" w:rsidRPr="00D34362">
              <w:rPr>
                <w:b/>
                <w:bCs/>
                <w:i/>
                <w:lang w:val="ro-RO"/>
              </w:rPr>
              <w:t>ului</w:t>
            </w:r>
            <w:r w:rsidRPr="00D34362">
              <w:rPr>
                <w:b/>
                <w:bCs/>
                <w:i/>
                <w:lang w:val="ro-RO"/>
              </w:rPr>
              <w:t xml:space="preserve"> privind organizarea şi funcţionarea Ministerului Fondurilor Europene</w:t>
            </w:r>
            <w:r w:rsidR="004256C1" w:rsidRPr="00D34362">
              <w:rPr>
                <w:b/>
                <w:bCs/>
                <w:i/>
                <w:lang w:val="ro-RO"/>
              </w:rPr>
              <w:t xml:space="preserve"> </w:t>
            </w:r>
          </w:p>
        </w:tc>
      </w:tr>
      <w:tr w:rsidR="00D34362" w:rsidRPr="00D34362">
        <w:trPr>
          <w:gridAfter w:val="1"/>
          <w:wAfter w:w="30" w:type="dxa"/>
          <w:trHeight w:val="144"/>
        </w:trPr>
        <w:tc>
          <w:tcPr>
            <w:tcW w:w="10471" w:type="dxa"/>
            <w:gridSpan w:val="10"/>
            <w:shd w:val="clear" w:color="auto" w:fill="auto"/>
          </w:tcPr>
          <w:p w:rsidR="00082B66" w:rsidRPr="00D34362" w:rsidRDefault="00560C0B" w:rsidP="00354F7A">
            <w:pPr>
              <w:rPr>
                <w:b/>
                <w:lang w:val="ro-RO"/>
              </w:rPr>
            </w:pPr>
            <w:r w:rsidRPr="00D34362">
              <w:rPr>
                <w:b/>
                <w:lang w:val="ro-RO"/>
              </w:rPr>
              <w:t>Secţiunea a 2-a: Motivul emiterii actului normativ</w:t>
            </w:r>
          </w:p>
        </w:tc>
      </w:tr>
      <w:tr w:rsidR="00D34362" w:rsidRPr="00D34362">
        <w:trPr>
          <w:gridAfter w:val="2"/>
          <w:wAfter w:w="46" w:type="dxa"/>
          <w:trHeight w:val="60"/>
        </w:trPr>
        <w:tc>
          <w:tcPr>
            <w:tcW w:w="2748" w:type="dxa"/>
            <w:shd w:val="clear" w:color="auto" w:fill="auto"/>
          </w:tcPr>
          <w:p w:rsidR="00F33637" w:rsidRPr="00D34362" w:rsidRDefault="00F33637" w:rsidP="007253CE">
            <w:pPr>
              <w:jc w:val="both"/>
              <w:rPr>
                <w:lang w:val="ro-RO"/>
              </w:rPr>
            </w:pPr>
            <w:r w:rsidRPr="00D34362">
              <w:rPr>
                <w:lang w:val="ro-RO"/>
              </w:rPr>
              <w:t>1. Descrierea situaţiei actuale</w:t>
            </w:r>
          </w:p>
        </w:tc>
        <w:tc>
          <w:tcPr>
            <w:tcW w:w="7707" w:type="dxa"/>
            <w:gridSpan w:val="8"/>
            <w:shd w:val="clear" w:color="auto" w:fill="auto"/>
          </w:tcPr>
          <w:p w:rsidR="00864D53" w:rsidRPr="00D34362" w:rsidRDefault="00864D53" w:rsidP="006A2805">
            <w:pPr>
              <w:pStyle w:val="Heading1"/>
              <w:spacing w:before="0" w:after="0"/>
              <w:jc w:val="both"/>
              <w:rPr>
                <w:rFonts w:ascii="Times New Roman" w:hAnsi="Times New Roman"/>
                <w:b w:val="0"/>
                <w:bCs w:val="0"/>
                <w:kern w:val="0"/>
                <w:sz w:val="24"/>
                <w:szCs w:val="24"/>
                <w:lang w:val="ro-RO"/>
              </w:rPr>
            </w:pPr>
            <w:r w:rsidRPr="00D34362">
              <w:rPr>
                <w:rFonts w:ascii="Times New Roman" w:hAnsi="Times New Roman"/>
                <w:b w:val="0"/>
                <w:bCs w:val="0"/>
                <w:kern w:val="0"/>
                <w:sz w:val="24"/>
                <w:szCs w:val="24"/>
                <w:lang w:val="ro-RO"/>
              </w:rPr>
              <w:t>Prin Hotărârea Parlamentului României nr.1/2018 pentru acordarea încrederii Guvernului, publicată în Monitorul Oficial al R</w:t>
            </w:r>
            <w:r w:rsidR="007B7A18" w:rsidRPr="00D34362">
              <w:rPr>
                <w:rFonts w:ascii="Times New Roman" w:hAnsi="Times New Roman"/>
                <w:b w:val="0"/>
                <w:bCs w:val="0"/>
                <w:kern w:val="0"/>
                <w:sz w:val="24"/>
                <w:szCs w:val="24"/>
                <w:lang w:val="ro-RO"/>
              </w:rPr>
              <w:t>omâniei</w:t>
            </w:r>
            <w:r w:rsidRPr="00D34362">
              <w:rPr>
                <w:rFonts w:ascii="Times New Roman" w:hAnsi="Times New Roman"/>
                <w:b w:val="0"/>
                <w:bCs w:val="0"/>
                <w:kern w:val="0"/>
                <w:sz w:val="24"/>
                <w:szCs w:val="24"/>
                <w:lang w:val="ro-RO"/>
              </w:rPr>
              <w:t>, Partea I, nr.84 din data de 29.01.2018 a fost modificată structura Guvernului României</w:t>
            </w:r>
            <w:r w:rsidR="00552868" w:rsidRPr="00D34362">
              <w:rPr>
                <w:rFonts w:ascii="Times New Roman" w:hAnsi="Times New Roman"/>
                <w:b w:val="0"/>
                <w:bCs w:val="0"/>
                <w:kern w:val="0"/>
                <w:sz w:val="24"/>
                <w:szCs w:val="24"/>
                <w:lang w:val="ro-RO"/>
              </w:rPr>
              <w:t>.</w:t>
            </w:r>
          </w:p>
          <w:p w:rsidR="007B7A18" w:rsidRPr="00D34362" w:rsidRDefault="007B7A18" w:rsidP="007B7A18">
            <w:pPr>
              <w:rPr>
                <w:lang w:val="ro-RO" w:eastAsia="x-none"/>
              </w:rPr>
            </w:pPr>
          </w:p>
          <w:p w:rsidR="007B7A18" w:rsidRPr="00D34362" w:rsidRDefault="007B7A18" w:rsidP="007B7A18">
            <w:pPr>
              <w:pStyle w:val="Heading1"/>
              <w:spacing w:before="0" w:after="0"/>
              <w:jc w:val="both"/>
              <w:rPr>
                <w:rFonts w:ascii="Times New Roman" w:hAnsi="Times New Roman"/>
                <w:b w:val="0"/>
                <w:bCs w:val="0"/>
                <w:kern w:val="0"/>
                <w:sz w:val="24"/>
                <w:szCs w:val="24"/>
                <w:lang w:val="ro-RO"/>
              </w:rPr>
            </w:pPr>
            <w:r w:rsidRPr="00D34362">
              <w:rPr>
                <w:rFonts w:ascii="Times New Roman" w:hAnsi="Times New Roman"/>
                <w:b w:val="0"/>
                <w:bCs w:val="0"/>
                <w:kern w:val="0"/>
                <w:sz w:val="24"/>
                <w:szCs w:val="24"/>
                <w:lang w:val="ro-RO"/>
              </w:rPr>
              <w:t>Prin Ordonanţa de urgenţă a Guvernului nr.</w:t>
            </w:r>
            <w:r w:rsidR="00E24471">
              <w:rPr>
                <w:rFonts w:ascii="Times New Roman" w:hAnsi="Times New Roman"/>
                <w:b w:val="0"/>
                <w:bCs w:val="0"/>
                <w:kern w:val="0"/>
                <w:sz w:val="24"/>
                <w:szCs w:val="24"/>
                <w:lang w:val="ro-RO"/>
              </w:rPr>
              <w:t>1</w:t>
            </w:r>
            <w:r w:rsidRPr="00D34362">
              <w:rPr>
                <w:rFonts w:ascii="Times New Roman" w:hAnsi="Times New Roman"/>
                <w:b w:val="0"/>
                <w:bCs w:val="0"/>
                <w:kern w:val="0"/>
                <w:sz w:val="24"/>
                <w:szCs w:val="24"/>
                <w:lang w:val="ro-RO"/>
              </w:rPr>
              <w:t>/2018 privind aprobarea  unor măsuri de reorganizare în cadrul administraţiei publice centrale şi pentru modificarea unor acte normative</w:t>
            </w:r>
            <w:r w:rsidRPr="00D34362">
              <w:rPr>
                <w:rFonts w:ascii="Times New Roman" w:hAnsi="Times New Roman"/>
                <w:b w:val="0"/>
                <w:bCs w:val="0"/>
                <w:i/>
                <w:kern w:val="0"/>
                <w:sz w:val="24"/>
                <w:szCs w:val="24"/>
                <w:lang w:val="ro-RO"/>
              </w:rPr>
              <w:t xml:space="preserve">, </w:t>
            </w:r>
            <w:r w:rsidRPr="00D34362">
              <w:rPr>
                <w:rFonts w:ascii="Times New Roman" w:hAnsi="Times New Roman"/>
                <w:b w:val="0"/>
                <w:bCs w:val="0"/>
                <w:kern w:val="0"/>
                <w:sz w:val="24"/>
                <w:szCs w:val="24"/>
                <w:lang w:val="ro-RO"/>
              </w:rPr>
              <w:t xml:space="preserve">a fost înfiinţat Ministerul Fondurilor Europene </w:t>
            </w:r>
            <w:r w:rsidRPr="00D34362">
              <w:rPr>
                <w:rFonts w:ascii="Times New Roman" w:hAnsi="Times New Roman"/>
                <w:bCs w:val="0"/>
                <w:kern w:val="0"/>
                <w:sz w:val="24"/>
                <w:szCs w:val="24"/>
                <w:lang w:val="ro-RO"/>
              </w:rPr>
              <w:t>prin preluarea structurilor de specialitate și activităților din domeniul fondurilor europene</w:t>
            </w:r>
            <w:r w:rsidRPr="00D34362">
              <w:rPr>
                <w:rFonts w:ascii="Times New Roman" w:hAnsi="Times New Roman"/>
                <w:b w:val="0"/>
                <w:bCs w:val="0"/>
                <w:kern w:val="0"/>
                <w:sz w:val="24"/>
                <w:szCs w:val="24"/>
                <w:lang w:val="ro-RO"/>
              </w:rPr>
              <w:t xml:space="preserve"> de la Ministerul Dezvoltării Regionale, Administraţiei Publice și Fondurilor Europene prevăzute de actul normativ, a </w:t>
            </w:r>
            <w:r w:rsidRPr="00D34362">
              <w:rPr>
                <w:rFonts w:ascii="Times New Roman" w:hAnsi="Times New Roman"/>
                <w:bCs w:val="0"/>
                <w:kern w:val="0"/>
                <w:sz w:val="24"/>
                <w:szCs w:val="24"/>
                <w:lang w:val="ro-RO"/>
              </w:rPr>
              <w:t>posturilor și personalului aferent acestora</w:t>
            </w:r>
            <w:r w:rsidRPr="00D34362">
              <w:rPr>
                <w:rFonts w:ascii="Times New Roman" w:hAnsi="Times New Roman"/>
                <w:b w:val="0"/>
                <w:bCs w:val="0"/>
                <w:kern w:val="0"/>
                <w:sz w:val="24"/>
                <w:szCs w:val="24"/>
                <w:lang w:val="ro-RO"/>
              </w:rPr>
              <w:t xml:space="preserve">, </w:t>
            </w:r>
            <w:r w:rsidRPr="00D34362">
              <w:rPr>
                <w:rFonts w:ascii="Times New Roman" w:hAnsi="Times New Roman"/>
                <w:bCs w:val="0"/>
                <w:kern w:val="0"/>
                <w:sz w:val="24"/>
                <w:szCs w:val="24"/>
                <w:lang w:val="ro-RO"/>
              </w:rPr>
              <w:t xml:space="preserve">a personalului încadrat la structurile suport, </w:t>
            </w:r>
            <w:r w:rsidR="009D495A" w:rsidRPr="00D34362">
              <w:rPr>
                <w:rFonts w:ascii="Times New Roman" w:hAnsi="Times New Roman"/>
                <w:b w:val="0"/>
                <w:bCs w:val="0"/>
                <w:kern w:val="0"/>
                <w:sz w:val="24"/>
                <w:szCs w:val="24"/>
                <w:lang w:val="ro-RO"/>
              </w:rPr>
              <w:t xml:space="preserve">la data </w:t>
            </w:r>
            <w:r w:rsidR="00C55257">
              <w:rPr>
                <w:rFonts w:ascii="Times New Roman" w:hAnsi="Times New Roman"/>
                <w:b w:val="0"/>
                <w:bCs w:val="0"/>
                <w:kern w:val="0"/>
                <w:sz w:val="24"/>
                <w:szCs w:val="24"/>
                <w:lang w:val="ro-RO"/>
              </w:rPr>
              <w:t xml:space="preserve">intrării în vigoare a </w:t>
            </w:r>
            <w:r w:rsidR="009D495A" w:rsidRPr="00D34362">
              <w:rPr>
                <w:rFonts w:ascii="Times New Roman" w:hAnsi="Times New Roman"/>
                <w:b w:val="0"/>
                <w:bCs w:val="0"/>
                <w:kern w:val="0"/>
                <w:sz w:val="24"/>
                <w:szCs w:val="24"/>
                <w:lang w:val="ro-RO"/>
              </w:rPr>
              <w:t xml:space="preserve"> ordonanțe de urgență, care a fost preluat de Ministerul Dezvoltării Regionale, Administratiei Publice si Fondurilor Europene, de la Ministerul Fondurilor Europene</w:t>
            </w:r>
            <w:r w:rsidR="00600972" w:rsidRPr="00D34362">
              <w:rPr>
                <w:rFonts w:ascii="Times New Roman" w:hAnsi="Times New Roman"/>
                <w:b w:val="0"/>
                <w:bCs w:val="0"/>
                <w:kern w:val="0"/>
                <w:sz w:val="24"/>
                <w:szCs w:val="24"/>
                <w:lang w:val="ro-RO"/>
              </w:rPr>
              <w:t>,</w:t>
            </w:r>
            <w:r w:rsidR="009D495A" w:rsidRPr="00D34362">
              <w:rPr>
                <w:rFonts w:ascii="Times New Roman" w:hAnsi="Times New Roman"/>
                <w:b w:val="0"/>
                <w:bCs w:val="0"/>
                <w:kern w:val="0"/>
                <w:sz w:val="24"/>
                <w:szCs w:val="24"/>
                <w:lang w:val="ro-RO"/>
              </w:rPr>
              <w:t xml:space="preserve"> potrivit art. 12 alin. (1) din Ordonanța de urgență a Guvernului nr.1/2017 pentru stabilirea unor masuri in domeniul administratiei publice centrale si pentru modificarea si completarea unor acte normative, cu modificările si completarile ulterioare, </w:t>
            </w:r>
            <w:r w:rsidRPr="00D34362">
              <w:rPr>
                <w:rFonts w:ascii="Times New Roman" w:hAnsi="Times New Roman"/>
                <w:b w:val="0"/>
                <w:bCs w:val="0"/>
                <w:kern w:val="0"/>
                <w:sz w:val="24"/>
                <w:szCs w:val="24"/>
                <w:lang w:val="ro-RO"/>
              </w:rPr>
              <w:t>precum și a activității și personalului Organismului Intermediar pentru POCU din cadrul Ministerului Muncii și Justiției Sociale.</w:t>
            </w:r>
          </w:p>
          <w:p w:rsidR="009A2EC6" w:rsidRPr="00D34362" w:rsidRDefault="006A2805" w:rsidP="00530BDC">
            <w:pPr>
              <w:jc w:val="both"/>
              <w:rPr>
                <w:rFonts w:eastAsia="Calibri"/>
                <w:shd w:val="clear" w:color="auto" w:fill="FFFFFF"/>
                <w:lang w:val="ro-RO"/>
              </w:rPr>
            </w:pPr>
            <w:r w:rsidRPr="00D34362">
              <w:rPr>
                <w:lang w:val="ro-RO"/>
              </w:rPr>
              <w:t xml:space="preserve">Ministerul Fondurilor Europene </w:t>
            </w:r>
            <w:r w:rsidR="00F775AB" w:rsidRPr="00D34362">
              <w:rPr>
                <w:b/>
                <w:lang w:val="ro-RO"/>
              </w:rPr>
              <w:t xml:space="preserve">va asigura </w:t>
            </w:r>
            <w:r w:rsidRPr="00D34362">
              <w:rPr>
                <w:b/>
                <w:lang w:val="ro-RO"/>
              </w:rPr>
              <w:t>coordonarea fondurilor europene prin decizii de management unitar, orientări metodologice pentru programarea fondurilor europene destinate unei dezvoltări inteligente, durabile şi incluzive, precum  şi prin organizarea  şi funcţionarea cadrului partenerial de consultare în vederea elaborării documentelor de programare naţionale 2014</w:t>
            </w:r>
            <w:r w:rsidRPr="00D34362">
              <w:rPr>
                <w:rFonts w:ascii="Cambria Math" w:hAnsi="Cambria Math" w:cs="Cambria Math"/>
                <w:b/>
                <w:lang w:val="ro-RO"/>
              </w:rPr>
              <w:t>‐</w:t>
            </w:r>
            <w:r w:rsidRPr="00D34362">
              <w:rPr>
                <w:b/>
                <w:lang w:val="ro-RO"/>
              </w:rPr>
              <w:t>2020</w:t>
            </w:r>
            <w:r w:rsidR="007416C0" w:rsidRPr="00D34362">
              <w:rPr>
                <w:b/>
                <w:lang w:val="ro-RO"/>
              </w:rPr>
              <w:t>/</w:t>
            </w:r>
            <w:r w:rsidR="007416C0" w:rsidRPr="00D34362">
              <w:rPr>
                <w:b/>
                <w:noProof/>
                <w:lang w:val="ro-RO"/>
              </w:rPr>
              <w:t>post 2020</w:t>
            </w:r>
            <w:r w:rsidRPr="00D34362">
              <w:rPr>
                <w:b/>
                <w:lang w:val="ro-RO"/>
              </w:rPr>
              <w:t> și implementării acestora.  </w:t>
            </w:r>
          </w:p>
          <w:p w:rsidR="00082B66" w:rsidRDefault="00352230" w:rsidP="00135873">
            <w:pPr>
              <w:autoSpaceDE w:val="0"/>
              <w:autoSpaceDN w:val="0"/>
              <w:adjustRightInd w:val="0"/>
              <w:jc w:val="both"/>
              <w:rPr>
                <w:shd w:val="clear" w:color="auto" w:fill="FFFFFF"/>
                <w:lang w:val="ro-RO"/>
              </w:rPr>
            </w:pPr>
            <w:r w:rsidRPr="00D34362">
              <w:rPr>
                <w:shd w:val="clear" w:color="auto" w:fill="FFFFFF"/>
                <w:lang w:val="ro-RO"/>
              </w:rPr>
              <w:t xml:space="preserve">Prin </w:t>
            </w:r>
            <w:r w:rsidR="004812E3" w:rsidRPr="00D34362">
              <w:rPr>
                <w:shd w:val="clear" w:color="auto" w:fill="FFFFFF"/>
                <w:lang w:val="ro-RO"/>
              </w:rPr>
              <w:t>art.</w:t>
            </w:r>
            <w:r w:rsidR="00135873">
              <w:rPr>
                <w:shd w:val="clear" w:color="auto" w:fill="FFFFFF"/>
                <w:lang w:val="ro-RO"/>
              </w:rPr>
              <w:t>4</w:t>
            </w:r>
            <w:r w:rsidR="004812E3" w:rsidRPr="00D34362">
              <w:rPr>
                <w:shd w:val="clear" w:color="auto" w:fill="FFFFFF"/>
                <w:lang w:val="ro-RO"/>
              </w:rPr>
              <w:t xml:space="preserve"> din </w:t>
            </w:r>
            <w:r w:rsidRPr="00D34362">
              <w:rPr>
                <w:shd w:val="clear" w:color="auto" w:fill="FFFFFF"/>
                <w:lang w:val="ro-RO"/>
              </w:rPr>
              <w:t>Ordonanţa de urgenţă a Guvernului nr.</w:t>
            </w:r>
            <w:r w:rsidR="00135873">
              <w:rPr>
                <w:shd w:val="clear" w:color="auto" w:fill="FFFFFF"/>
                <w:lang w:val="ro-RO"/>
              </w:rPr>
              <w:t>1</w:t>
            </w:r>
            <w:r w:rsidRPr="00D34362">
              <w:rPr>
                <w:shd w:val="clear" w:color="auto" w:fill="FFFFFF"/>
                <w:lang w:val="ro-RO"/>
              </w:rPr>
              <w:t xml:space="preserve">/2018 privind </w:t>
            </w:r>
            <w:r w:rsidR="00B90DD4" w:rsidRPr="00D34362">
              <w:rPr>
                <w:shd w:val="clear" w:color="auto" w:fill="FFFFFF"/>
                <w:lang w:val="ro-RO"/>
              </w:rPr>
              <w:t xml:space="preserve">aprobarea </w:t>
            </w:r>
            <w:r w:rsidRPr="00D34362">
              <w:rPr>
                <w:shd w:val="clear" w:color="auto" w:fill="FFFFFF"/>
                <w:lang w:val="ro-RO"/>
              </w:rPr>
              <w:t>unor măsuri de reorganizare în cadrul administraţiei publice centrale şi pentru modificarea unor acte normative</w:t>
            </w:r>
            <w:r w:rsidR="004812E3" w:rsidRPr="00D34362">
              <w:rPr>
                <w:shd w:val="clear" w:color="auto" w:fill="FFFFFF"/>
                <w:lang w:val="ro-RO"/>
              </w:rPr>
              <w:t xml:space="preserve">, </w:t>
            </w:r>
            <w:r w:rsidRPr="00D34362">
              <w:rPr>
                <w:shd w:val="clear" w:color="auto" w:fill="FFFFFF"/>
                <w:lang w:val="ro-RO"/>
              </w:rPr>
              <w:t xml:space="preserve">se stabilește </w:t>
            </w:r>
            <w:r w:rsidR="004812E3" w:rsidRPr="00D34362">
              <w:rPr>
                <w:shd w:val="clear" w:color="auto" w:fill="FFFFFF"/>
                <w:lang w:val="ro-RO"/>
              </w:rPr>
              <w:t xml:space="preserve">faptul că în termen de 30 de zile de la data intrării în vigoare a prezentei ordonanţe de urgenţă se aprobă </w:t>
            </w:r>
            <w:r w:rsidR="00912778" w:rsidRPr="00D34362">
              <w:rPr>
                <w:shd w:val="clear" w:color="auto" w:fill="FFFFFF"/>
                <w:lang w:val="ro-RO"/>
              </w:rPr>
              <w:t>hotărârea</w:t>
            </w:r>
            <w:r w:rsidR="004812E3" w:rsidRPr="00D34362">
              <w:rPr>
                <w:shd w:val="clear" w:color="auto" w:fill="FFFFFF"/>
                <w:lang w:val="ro-RO"/>
              </w:rPr>
              <w:t xml:space="preserve"> Guvernului </w:t>
            </w:r>
            <w:r w:rsidR="00912778" w:rsidRPr="00D34362">
              <w:rPr>
                <w:shd w:val="clear" w:color="auto" w:fill="FFFFFF"/>
                <w:lang w:val="ro-RO"/>
              </w:rPr>
              <w:t>privind o</w:t>
            </w:r>
            <w:r w:rsidR="00B90DD4" w:rsidRPr="00D34362">
              <w:rPr>
                <w:shd w:val="clear" w:color="auto" w:fill="FFFFFF"/>
                <w:lang w:val="ro-RO"/>
              </w:rPr>
              <w:t>rganizarea și funcționarea MFE.</w:t>
            </w:r>
          </w:p>
          <w:p w:rsidR="00712B6B" w:rsidRPr="00D34362" w:rsidRDefault="00712B6B" w:rsidP="00712B6B">
            <w:pPr>
              <w:autoSpaceDE w:val="0"/>
              <w:autoSpaceDN w:val="0"/>
              <w:adjustRightInd w:val="0"/>
              <w:jc w:val="both"/>
              <w:rPr>
                <w:shd w:val="clear" w:color="auto" w:fill="FFFFFF"/>
                <w:lang w:val="ro-RO"/>
              </w:rPr>
            </w:pPr>
            <w:r w:rsidRPr="00712B6B">
              <w:rPr>
                <w:shd w:val="clear" w:color="auto" w:fill="FFFFFF"/>
                <w:lang w:val="ro-RO"/>
              </w:rPr>
              <w:t xml:space="preserve">La momentul </w:t>
            </w:r>
            <w:r>
              <w:rPr>
                <w:shd w:val="clear" w:color="auto" w:fill="FFFFFF"/>
                <w:lang w:val="ro-RO"/>
              </w:rPr>
              <w:t xml:space="preserve">desființării Ministerului Fondurilor Europene, și a preluării activității de către </w:t>
            </w:r>
            <w:r w:rsidRPr="00712B6B">
              <w:rPr>
                <w:shd w:val="clear" w:color="auto" w:fill="FFFFFF"/>
                <w:lang w:val="ro-RO"/>
              </w:rPr>
              <w:t>MDRAP</w:t>
            </w:r>
            <w:r>
              <w:rPr>
                <w:shd w:val="clear" w:color="auto" w:fill="FFFFFF"/>
                <w:lang w:val="ro-RO"/>
              </w:rPr>
              <w:t>FE</w:t>
            </w:r>
            <w:r w:rsidRPr="00712B6B">
              <w:rPr>
                <w:shd w:val="clear" w:color="auto" w:fill="FFFFFF"/>
                <w:lang w:val="ro-RO"/>
              </w:rPr>
              <w:t>, Ministerul Fondurilor Europene avea un număr de 1275 posturi (931 posturi aparat propriu și 344 posturi OIR POSDRU – unități subordonate cu personalitate juridică).</w:t>
            </w:r>
          </w:p>
        </w:tc>
      </w:tr>
      <w:tr w:rsidR="00D34362" w:rsidRPr="00D34362">
        <w:trPr>
          <w:gridAfter w:val="2"/>
          <w:wAfter w:w="46" w:type="dxa"/>
          <w:trHeight w:val="60"/>
        </w:trPr>
        <w:tc>
          <w:tcPr>
            <w:tcW w:w="2748" w:type="dxa"/>
            <w:shd w:val="clear" w:color="auto" w:fill="auto"/>
          </w:tcPr>
          <w:p w:rsidR="00F33637" w:rsidRPr="00D34362" w:rsidRDefault="00F33637" w:rsidP="003D119E">
            <w:pPr>
              <w:rPr>
                <w:lang w:val="ro-RO"/>
              </w:rPr>
            </w:pPr>
            <w:r w:rsidRPr="00D34362">
              <w:rPr>
                <w:lang w:val="ro-RO"/>
              </w:rPr>
              <w:t>2. Schimbări preconizate</w:t>
            </w:r>
          </w:p>
        </w:tc>
        <w:tc>
          <w:tcPr>
            <w:tcW w:w="7707" w:type="dxa"/>
            <w:gridSpan w:val="8"/>
            <w:shd w:val="clear" w:color="auto" w:fill="auto"/>
          </w:tcPr>
          <w:p w:rsidR="007B7A18" w:rsidRPr="00D34362" w:rsidRDefault="007B7A18" w:rsidP="007B7A18">
            <w:pPr>
              <w:tabs>
                <w:tab w:val="left" w:pos="459"/>
              </w:tabs>
              <w:ind w:left="-108"/>
              <w:jc w:val="both"/>
              <w:rPr>
                <w:lang w:val="ro-RO"/>
              </w:rPr>
            </w:pPr>
            <w:r w:rsidRPr="00D34362">
              <w:rPr>
                <w:lang w:val="ro-RO"/>
              </w:rPr>
              <w:t>Programul de guvernare 2017-2020 statuează că „pentru a creşte competitivitatea României, absorbţia integrală a fondurilor europe</w:t>
            </w:r>
            <w:r w:rsidR="00A950A2" w:rsidRPr="00D34362">
              <w:rPr>
                <w:lang w:val="ro-RO"/>
              </w:rPr>
              <w:t>ne până în 2023 este stringentă”.</w:t>
            </w:r>
            <w:r w:rsidRPr="00D34362">
              <w:rPr>
                <w:lang w:val="ro-RO"/>
              </w:rPr>
              <w:t xml:space="preserve"> (...) România a fost cel de-al 11 lea stat membru din cele 28 cu care Comisia Europeană a adoptat Acordul de parteneriat, creând astfel premisele unei absorbţii ridicate la sfârşitul perioadei de implementare. România are un document-cadru care stabileşte priorităţi clare în ceea ce priveşte investiţiile, la o finanţare majorată pentru cercetare şi inovare, la o abordare echilibrată a investiţiilor din sectorul transporturilor şi la obiective </w:t>
            </w:r>
            <w:r w:rsidRPr="00D34362">
              <w:rPr>
                <w:lang w:val="ro-RO"/>
              </w:rPr>
              <w:lastRenderedPageBreak/>
              <w:t>mai bine aliniate la obiectivele naţionale din cadrul Strategiei Europa 2020 şi la recomandările de politică formulate în contextul semestrului european.</w:t>
            </w:r>
          </w:p>
          <w:p w:rsidR="007B7A18" w:rsidRPr="00D34362" w:rsidRDefault="007B7A18" w:rsidP="00530BDC">
            <w:pPr>
              <w:tabs>
                <w:tab w:val="left" w:pos="459"/>
              </w:tabs>
              <w:ind w:left="-108"/>
              <w:jc w:val="both"/>
              <w:rPr>
                <w:b/>
                <w:bCs/>
                <w:lang w:val="ro-RO"/>
              </w:rPr>
            </w:pPr>
            <w:r w:rsidRPr="00D34362">
              <w:rPr>
                <w:lang w:val="ro-RO" w:eastAsia="x-none"/>
              </w:rPr>
              <w:t>Anul 2018 este un an de o importanță majoră pentru România, în care se impune realizarea unei reforme profunde și o eficientizare practică a sistemului de management al fondurilor europene, având în vedere obiectivele pe care România și le-a asumat că le va atinge în cadrul Strategiei Europa 2020. În acest context, sistemul aferent noii perioade de programare 2014-2020 trebuie să fie eficient în regim de urgență, astfel încât România să aibă majoritatea apelurilor de proiecte lansate în cel mai scurt timp.</w:t>
            </w:r>
            <w:r w:rsidRPr="00D34362">
              <w:rPr>
                <w:lang w:val="ro-RO"/>
              </w:rPr>
              <w:t xml:space="preserve">Comisia Europeană împărtășește abordarea privind utilizarea coordonată a fondurilor, considerând că noul sistem trebuie să fie suplu și eficient, pentru a evita problemele întâmpinate și riscurile asociate acestora în perioada de programare 2007-2013. </w:t>
            </w:r>
          </w:p>
          <w:p w:rsidR="007B7A18" w:rsidRPr="00D34362" w:rsidRDefault="007B7A18" w:rsidP="007B7A18">
            <w:pPr>
              <w:pStyle w:val="Heading1"/>
              <w:jc w:val="both"/>
              <w:rPr>
                <w:rFonts w:ascii="Times New Roman" w:hAnsi="Times New Roman"/>
                <w:b w:val="0"/>
                <w:bCs w:val="0"/>
                <w:kern w:val="0"/>
                <w:sz w:val="24"/>
                <w:szCs w:val="24"/>
                <w:lang w:val="ro-RO"/>
              </w:rPr>
            </w:pPr>
            <w:r w:rsidRPr="00D34362">
              <w:rPr>
                <w:rFonts w:ascii="Times New Roman" w:hAnsi="Times New Roman"/>
                <w:b w:val="0"/>
                <w:bCs w:val="0"/>
                <w:kern w:val="0"/>
                <w:sz w:val="24"/>
                <w:szCs w:val="24"/>
                <w:lang w:val="ro-RO"/>
              </w:rPr>
              <w:t xml:space="preserve">Pentru ca această performanță să fie posibilă, </w:t>
            </w:r>
            <w:r w:rsidRPr="00D34362">
              <w:rPr>
                <w:rFonts w:ascii="Times New Roman" w:hAnsi="Times New Roman"/>
                <w:bCs w:val="0"/>
                <w:kern w:val="0"/>
                <w:sz w:val="24"/>
                <w:szCs w:val="24"/>
                <w:lang w:val="ro-RO"/>
              </w:rPr>
              <w:t>este necesară continuarea procesului de întărire a capacității de administrare a fondurilor europene prin inființarea Ministerul</w:t>
            </w:r>
            <w:r w:rsidR="001B1810" w:rsidRPr="00D34362">
              <w:rPr>
                <w:rFonts w:ascii="Times New Roman" w:hAnsi="Times New Roman"/>
                <w:bCs w:val="0"/>
                <w:kern w:val="0"/>
                <w:sz w:val="24"/>
                <w:szCs w:val="24"/>
                <w:lang w:val="ro-RO"/>
              </w:rPr>
              <w:t>ui</w:t>
            </w:r>
            <w:r w:rsidRPr="00D34362">
              <w:rPr>
                <w:rFonts w:ascii="Times New Roman" w:hAnsi="Times New Roman"/>
                <w:bCs w:val="0"/>
                <w:kern w:val="0"/>
                <w:sz w:val="24"/>
                <w:szCs w:val="24"/>
                <w:lang w:val="ro-RO"/>
              </w:rPr>
              <w:t xml:space="preserve"> Fondurilor Europene prin preluarea structurilor de specialitate și activităților din domeniul fondurilor europene, fondurilor alocate</w:t>
            </w:r>
            <w:r w:rsidRPr="00D34362">
              <w:rPr>
                <w:rFonts w:ascii="Times New Roman" w:hAnsi="Times New Roman"/>
                <w:b w:val="0"/>
                <w:bCs w:val="0"/>
                <w:kern w:val="0"/>
                <w:sz w:val="24"/>
                <w:szCs w:val="24"/>
                <w:lang w:val="ro-RO"/>
              </w:rPr>
              <w:t xml:space="preserve"> prin Mecanismul pentru Interconectarea Europei, mecanismele financiare ale Spaţiului Economic European şi norvegian, Programele de infratire institutionala si Asistenta Tehnica, respectiv gestionarea Fonduri de pre-aderare: Phare, ISPA, Facilitatea de tranziție 2007, Frontierelor Externe, Programul de Cooperare Elveţiano – Român cu atribuții specifice autorității de plată, Fondul Facilitatea Schengen, Fondul de Securitate Internă 2014 – 2020</w:t>
            </w:r>
            <w:r w:rsidR="00361422" w:rsidRPr="00D34362">
              <w:rPr>
                <w:rFonts w:ascii="Times New Roman" w:hAnsi="Times New Roman"/>
                <w:b w:val="0"/>
                <w:bCs w:val="0"/>
                <w:kern w:val="0"/>
                <w:sz w:val="24"/>
                <w:szCs w:val="24"/>
                <w:lang w:val="ro-RO"/>
              </w:rPr>
              <w:t>/post 2020</w:t>
            </w:r>
            <w:r w:rsidRPr="00D34362">
              <w:rPr>
                <w:rFonts w:ascii="Times New Roman" w:hAnsi="Times New Roman"/>
                <w:b w:val="0"/>
                <w:bCs w:val="0"/>
                <w:kern w:val="0"/>
                <w:sz w:val="24"/>
                <w:szCs w:val="24"/>
                <w:lang w:val="ro-RO"/>
              </w:rPr>
              <w:t>, inclusiv unitățile subordonate aferente activității preluate de la Ministerul Dezvoltării Regionale, Administrației Publice și Fondurilor Europene și a activității și personalului Organismului Intermediar pentru POCU din cadrul Ministerului Muncii și Justiției Sociale.</w:t>
            </w:r>
          </w:p>
          <w:p w:rsidR="001B1810" w:rsidRPr="00D34362" w:rsidRDefault="001B1810" w:rsidP="001B1810">
            <w:pPr>
              <w:autoSpaceDE w:val="0"/>
              <w:autoSpaceDN w:val="0"/>
              <w:adjustRightInd w:val="0"/>
              <w:jc w:val="both"/>
              <w:rPr>
                <w:rFonts w:eastAsia="Calibri"/>
                <w:shd w:val="clear" w:color="auto" w:fill="FFFFFF"/>
                <w:lang w:val="ro-RO"/>
              </w:rPr>
            </w:pPr>
            <w:r w:rsidRPr="00D34362">
              <w:rPr>
                <w:rFonts w:eastAsia="Calibri"/>
                <w:shd w:val="clear" w:color="auto" w:fill="FFFFFF"/>
                <w:lang w:val="ro-RO"/>
              </w:rPr>
              <w:t>Necesitatea preluării de către Ministerul Fondurilor Europene a activității și personalului Organismului Intermediar pentru POCU din cadrul Ministerului Muncii și Justiției Sociale rezidă din următoarele argumente:</w:t>
            </w:r>
          </w:p>
          <w:p w:rsidR="001B1810" w:rsidRPr="00D34362" w:rsidRDefault="001B1810" w:rsidP="001B1810">
            <w:pPr>
              <w:autoSpaceDE w:val="0"/>
              <w:autoSpaceDN w:val="0"/>
              <w:adjustRightInd w:val="0"/>
              <w:jc w:val="both"/>
              <w:rPr>
                <w:rFonts w:eastAsia="Calibri"/>
                <w:shd w:val="clear" w:color="auto" w:fill="FFFFFF"/>
                <w:lang w:val="ro-RO"/>
              </w:rPr>
            </w:pPr>
            <w:r w:rsidRPr="00D34362">
              <w:rPr>
                <w:rFonts w:eastAsia="Calibri"/>
                <w:shd w:val="clear" w:color="auto" w:fill="FFFFFF"/>
                <w:lang w:val="ro-RO"/>
              </w:rPr>
              <w:t>•</w:t>
            </w:r>
            <w:r w:rsidRPr="00D34362">
              <w:rPr>
                <w:rFonts w:eastAsia="Calibri"/>
                <w:shd w:val="clear" w:color="auto" w:fill="FFFFFF"/>
                <w:lang w:val="ro-RO"/>
              </w:rPr>
              <w:tab/>
            </w:r>
            <w:r w:rsidR="0096190B" w:rsidRPr="00D34362">
              <w:rPr>
                <w:rFonts w:eastAsia="Calibri"/>
                <w:shd w:val="clear" w:color="auto" w:fill="FFFFFF"/>
                <w:lang w:val="ro-RO"/>
              </w:rPr>
              <w:t>e</w:t>
            </w:r>
            <w:r w:rsidRPr="00D34362">
              <w:rPr>
                <w:rFonts w:eastAsia="Calibri"/>
                <w:shd w:val="clear" w:color="auto" w:fill="FFFFFF"/>
                <w:lang w:val="ro-RO"/>
              </w:rPr>
              <w:t xml:space="preserve">xercițiul financiar aferent perioadei de programare 2007-2013 a relevat disfuncționalități la nivelul implementării POSDRU, derivate din coordonarea inconsistentă a organismelor intermediare de către autoritatea de management pe fondul subordonării diferite a instituțiilor implicate – autoritatea de management fiind o direcție generală din cadrul Ministerului Muncii, Familiei, Protecției Sociale și Persoanelor Vârstnice, respectiv din cadrul Ministerul Fondurilor Europene începând cu data de 01.03.2014, în timp ce organismele intermediare au avut doar o coordonare metodologică din partea autorității de management, aceste instituții fiind subordonate administrativ ministerului ca instituție de resort, respectiv Ministerul Muncii, Familiei, Protecției Sociale și Persoanelor Vârstnice și Ministerul Educației Naționale și Cercetării Ștințifice. În contextul acestei duble coordonări, demersurile decizionale inițiate de autoritatea de management au rezultat în aplicări neunitare ale procedurilor și instrucțiunilor POSDRU, autoritatea de management fiind de facto privată de pârghiile administrative necesare pentru asigurarea unui cadrul unitar și consistent de implementare a programului </w:t>
            </w:r>
            <w:r w:rsidRPr="00D34362">
              <w:rPr>
                <w:rFonts w:eastAsia="Calibri"/>
                <w:shd w:val="clear" w:color="auto" w:fill="FFFFFF"/>
                <w:lang w:val="ro-RO"/>
              </w:rPr>
              <w:lastRenderedPageBreak/>
              <w:t>operațional, fapt semnalat în repetate rânduri de beneficiari și de membrii comitetului de monitorizare POSDRU. Cele 8 organisme intermediare regionale pentru POSDRU au fost preluate la Ministerul Fondurilor Europene în baza Ordonanței de urgență a Guvernului nr. 23/2016 pentru aprobarea unor măsuri de eficientizare a sistemului de gestionare a instrumentelor structurale și de investiții europene, cu modificările ulterioare. Preluarea activității și personalului Organismului Intermediar pentru POCU din cadrul Ministerului Muncii și Justiției Sociale reprezintă continuarea procesului de definitivare a sistemului de gestionare a fondurilor europene pentru perioada de programare 2014-2020.</w:t>
            </w:r>
          </w:p>
          <w:p w:rsidR="00600972" w:rsidRPr="00D34362" w:rsidRDefault="00570932" w:rsidP="00600972">
            <w:pPr>
              <w:pStyle w:val="ListParagraph"/>
              <w:numPr>
                <w:ilvl w:val="0"/>
                <w:numId w:val="29"/>
              </w:numPr>
              <w:autoSpaceDE w:val="0"/>
              <w:autoSpaceDN w:val="0"/>
              <w:adjustRightInd w:val="0"/>
              <w:jc w:val="both"/>
              <w:rPr>
                <w:rFonts w:eastAsia="Calibri"/>
                <w:shd w:val="clear" w:color="auto" w:fill="FFFFFF"/>
                <w:lang w:val="ro-RO"/>
              </w:rPr>
            </w:pPr>
            <w:r w:rsidRPr="00D34362">
              <w:rPr>
                <w:rFonts w:eastAsia="Calibri"/>
                <w:shd w:val="clear" w:color="auto" w:fill="FFFFFF"/>
                <w:lang w:val="ro-RO"/>
              </w:rPr>
              <w:t xml:space="preserve">Abordarea procedurală neunitară la nivelul instituțiilor implicate în </w:t>
            </w:r>
          </w:p>
          <w:p w:rsidR="00570932" w:rsidRPr="00D34362" w:rsidRDefault="00570932" w:rsidP="00600972">
            <w:pPr>
              <w:autoSpaceDE w:val="0"/>
              <w:autoSpaceDN w:val="0"/>
              <w:adjustRightInd w:val="0"/>
              <w:jc w:val="both"/>
              <w:rPr>
                <w:rFonts w:eastAsia="Calibri"/>
                <w:shd w:val="clear" w:color="auto" w:fill="FFFFFF"/>
                <w:lang w:val="ro-RO"/>
              </w:rPr>
            </w:pPr>
            <w:r w:rsidRPr="00D34362">
              <w:rPr>
                <w:rFonts w:eastAsia="Calibri"/>
                <w:shd w:val="clear" w:color="auto" w:fill="FFFFFF"/>
                <w:lang w:val="ro-RO"/>
              </w:rPr>
              <w:t>implementarea unui program operațional (autoritate de management – organisme intermediare) este de natură să împiedice absorbția eficientă a fondurilor (de exemplu, soluțiile diferite în verificarea și decontarea cheltuielilor ajung să fie soluționate în instanță și să greveze în cele din urmă bugetul de stat în condițiile în care cheltuielile odată necertificate nu mai pot fi decontate din instrumente structurale/FESI). Asigurarea unui cadru procedural unitar și coerent va minimiza riscurile asociate proceselor decizionale cu implicații financiare și va crea premisele absorbției corespunzătoare a fondurilor.</w:t>
            </w:r>
          </w:p>
          <w:p w:rsidR="007B7A18" w:rsidRPr="00D34362" w:rsidRDefault="007B7A18" w:rsidP="007B7A18">
            <w:pPr>
              <w:pStyle w:val="Heading1"/>
              <w:spacing w:before="0" w:after="0"/>
              <w:jc w:val="both"/>
              <w:rPr>
                <w:rFonts w:ascii="Times New Roman" w:hAnsi="Times New Roman"/>
                <w:b w:val="0"/>
                <w:bCs w:val="0"/>
                <w:kern w:val="0"/>
                <w:sz w:val="24"/>
                <w:szCs w:val="24"/>
                <w:lang w:val="ro-RO"/>
              </w:rPr>
            </w:pPr>
            <w:r w:rsidRPr="00D34362">
              <w:rPr>
                <w:rFonts w:ascii="Times New Roman" w:hAnsi="Times New Roman"/>
                <w:b w:val="0"/>
                <w:bCs w:val="0"/>
                <w:kern w:val="0"/>
                <w:sz w:val="24"/>
                <w:szCs w:val="24"/>
                <w:lang w:val="ro-RO"/>
              </w:rPr>
              <w:t>Astfel, se va prelua de la Ministerul Muncii și Justiției Sociale activitatea și personalul Organismului Intermediar pentru POCU, care funcționează cu un număr de 19 de posturi</w:t>
            </w:r>
            <w:r w:rsidR="000A0512" w:rsidRPr="00D34362">
              <w:rPr>
                <w:rFonts w:ascii="Times New Roman" w:hAnsi="Times New Roman"/>
                <w:b w:val="0"/>
                <w:bCs w:val="0"/>
                <w:kern w:val="0"/>
                <w:sz w:val="24"/>
                <w:szCs w:val="24"/>
                <w:lang w:val="ro-RO"/>
              </w:rPr>
              <w:t>,</w:t>
            </w:r>
            <w:r w:rsidRPr="00D34362">
              <w:rPr>
                <w:rFonts w:ascii="Times New Roman" w:hAnsi="Times New Roman"/>
                <w:b w:val="0"/>
                <w:bCs w:val="0"/>
                <w:kern w:val="0"/>
                <w:sz w:val="24"/>
                <w:szCs w:val="24"/>
                <w:lang w:val="ro-RO"/>
              </w:rPr>
              <w:t xml:space="preserve"> structurile de specialitate, </w:t>
            </w:r>
            <w:r w:rsidR="000A0512" w:rsidRPr="00D34362">
              <w:rPr>
                <w:rFonts w:ascii="Times New Roman" w:hAnsi="Times New Roman"/>
                <w:b w:val="0"/>
                <w:bCs w:val="0"/>
                <w:kern w:val="0"/>
                <w:sz w:val="24"/>
                <w:szCs w:val="24"/>
                <w:lang w:val="ro-RO"/>
              </w:rPr>
              <w:t>structurile suport, posturile și personalul aferent, precum și activitățile</w:t>
            </w:r>
            <w:r w:rsidRPr="00D34362">
              <w:rPr>
                <w:rFonts w:ascii="Times New Roman" w:hAnsi="Times New Roman"/>
                <w:b w:val="0"/>
                <w:bCs w:val="0"/>
                <w:kern w:val="0"/>
                <w:sz w:val="24"/>
                <w:szCs w:val="24"/>
                <w:lang w:val="ro-RO"/>
              </w:rPr>
              <w:t xml:space="preserve"> </w:t>
            </w:r>
            <w:r w:rsidR="000A0512" w:rsidRPr="00D34362">
              <w:rPr>
                <w:rFonts w:ascii="Times New Roman" w:hAnsi="Times New Roman"/>
                <w:b w:val="0"/>
                <w:bCs w:val="0"/>
                <w:kern w:val="0"/>
                <w:sz w:val="24"/>
                <w:szCs w:val="24"/>
                <w:lang w:val="ro-RO"/>
              </w:rPr>
              <w:t xml:space="preserve">unităților subordonate, posturile și personalul aferente </w:t>
            </w:r>
            <w:r w:rsidRPr="00D34362">
              <w:rPr>
                <w:rFonts w:ascii="Times New Roman" w:hAnsi="Times New Roman"/>
                <w:b w:val="0"/>
                <w:bCs w:val="0"/>
                <w:kern w:val="0"/>
                <w:sz w:val="24"/>
                <w:szCs w:val="24"/>
                <w:lang w:val="ro-RO"/>
              </w:rPr>
              <w:t>domeniului preluat de la Ministerul Dezvoltării Regionale, Administrației Publice și Fondurilor Europene.</w:t>
            </w:r>
          </w:p>
          <w:p w:rsidR="00DC3511" w:rsidRPr="00D34362" w:rsidRDefault="00DC3511" w:rsidP="007416C0">
            <w:pPr>
              <w:tabs>
                <w:tab w:val="left" w:pos="459"/>
              </w:tabs>
              <w:jc w:val="both"/>
              <w:rPr>
                <w:lang w:val="ro-RO"/>
              </w:rPr>
            </w:pPr>
            <w:r w:rsidRPr="00D34362">
              <w:rPr>
                <w:lang w:val="ro-RO"/>
              </w:rPr>
              <w:t>Prezenta hotărâre prevede că Ministerul Fondurilor Europene este autoritatea pentru următoarele domenii de activitate: coordonarea instrumentelor structurale 2007-2013, coordonarea fondurilor europene structurale şi de investiţii 2014-2020</w:t>
            </w:r>
            <w:r w:rsidR="00361422" w:rsidRPr="00D34362">
              <w:rPr>
                <w:lang w:val="ro-RO"/>
              </w:rPr>
              <w:t>/post 2020</w:t>
            </w:r>
            <w:r w:rsidRPr="00D34362">
              <w:rPr>
                <w:lang w:val="ro-RO"/>
              </w:rPr>
              <w:t xml:space="preserve">, </w:t>
            </w:r>
            <w:r w:rsidR="00182DC1">
              <w:rPr>
                <w:lang w:val="ro-RO"/>
              </w:rPr>
              <w:t xml:space="preserve">coordonarea fondurilor alocate Programului operațional Ajutorarea persoanelor defavorizate, </w:t>
            </w:r>
            <w:r w:rsidRPr="00D34362">
              <w:rPr>
                <w:lang w:val="ro-RO"/>
              </w:rPr>
              <w:t xml:space="preserve">coordonarea fondurilor alocate </w:t>
            </w:r>
            <w:r w:rsidR="007416C0" w:rsidRPr="00D34362">
              <w:rPr>
                <w:noProof/>
                <w:lang w:val="ro-RO"/>
              </w:rPr>
              <w:t>Mecanismul pentru Interconectarea Europei</w:t>
            </w:r>
            <w:r w:rsidR="007416C0" w:rsidRPr="00D34362">
              <w:rPr>
                <w:lang w:val="ro-RO"/>
              </w:rPr>
              <w:t xml:space="preserve">, </w:t>
            </w:r>
            <w:r w:rsidRPr="00D34362">
              <w:rPr>
                <w:lang w:val="ro-RO"/>
              </w:rPr>
              <w:t>prin Mecanismul financiar al Spațiului Economic European 2009-2014, Mecanismul financiar Norvegian 2009-2014, Mecanismul financiar al Spațiului Economic European 2014-2021 și Mecanismul financiar Norvegian 2014-2021, Mecanismul financiar al Spațiului Economic European 2004-2009 şi controlul utilizării asistenţei financiare nerambursabile acordate României de către Uniunea Europeană pentru programele pe care le gestionează.</w:t>
            </w:r>
          </w:p>
          <w:p w:rsidR="00E744D4" w:rsidRPr="00D34362" w:rsidRDefault="00E744D4" w:rsidP="00E744D4">
            <w:pPr>
              <w:autoSpaceDE w:val="0"/>
              <w:autoSpaceDN w:val="0"/>
              <w:adjustRightInd w:val="0"/>
              <w:jc w:val="both"/>
              <w:rPr>
                <w:rFonts w:eastAsia="Calibri"/>
                <w:shd w:val="clear" w:color="auto" w:fill="FFFFFF"/>
                <w:lang w:val="ro-RO"/>
              </w:rPr>
            </w:pPr>
            <w:r w:rsidRPr="00D34362">
              <w:rPr>
                <w:rFonts w:eastAsia="Calibri"/>
                <w:shd w:val="clear" w:color="auto" w:fill="FFFFFF"/>
                <w:lang w:val="ro-RO"/>
              </w:rPr>
              <w:t>Ministerul Fondurilor Europene are în subordine 8 organisme intermediare regionale pentru Programul Operațional Sectorial pentru Dezvoltarea Resurselor Umane (POSDRU).</w:t>
            </w:r>
          </w:p>
          <w:p w:rsidR="005173E3" w:rsidRPr="00D34362" w:rsidRDefault="005173E3" w:rsidP="00915F08">
            <w:pPr>
              <w:tabs>
                <w:tab w:val="left" w:pos="459"/>
              </w:tabs>
              <w:ind w:left="132"/>
              <w:jc w:val="both"/>
              <w:rPr>
                <w:lang w:val="ro-RO"/>
              </w:rPr>
            </w:pPr>
            <w:r w:rsidRPr="00D34362">
              <w:rPr>
                <w:lang w:val="ro-RO"/>
              </w:rPr>
              <w:t>În domeniile sale de activitate, Ministerul Fondurilor Europene exercită următoarele funcții:</w:t>
            </w:r>
          </w:p>
          <w:p w:rsidR="00510B41" w:rsidRPr="00D34362" w:rsidRDefault="00510B41" w:rsidP="00915F08">
            <w:pPr>
              <w:tabs>
                <w:tab w:val="left" w:pos="459"/>
              </w:tabs>
              <w:ind w:left="132"/>
              <w:jc w:val="both"/>
              <w:rPr>
                <w:lang w:val="ro-RO"/>
              </w:rPr>
            </w:pPr>
            <w:r w:rsidRPr="00D34362">
              <w:rPr>
                <w:lang w:val="ro-RO"/>
              </w:rPr>
              <w:t>a) de planificare strategică;</w:t>
            </w:r>
          </w:p>
          <w:p w:rsidR="00510B41" w:rsidRPr="00D34362" w:rsidRDefault="00510B41" w:rsidP="00915F08">
            <w:pPr>
              <w:tabs>
                <w:tab w:val="left" w:pos="459"/>
              </w:tabs>
              <w:ind w:left="132"/>
              <w:jc w:val="both"/>
              <w:rPr>
                <w:lang w:val="ro-RO"/>
              </w:rPr>
            </w:pPr>
            <w:r w:rsidRPr="00D34362">
              <w:rPr>
                <w:lang w:val="ro-RO"/>
              </w:rPr>
              <w:t>b) de reglementare şi avizare;</w:t>
            </w:r>
          </w:p>
          <w:p w:rsidR="00510B41" w:rsidRPr="00D34362" w:rsidRDefault="00510B41" w:rsidP="00915F08">
            <w:pPr>
              <w:tabs>
                <w:tab w:val="left" w:pos="459"/>
              </w:tabs>
              <w:ind w:left="132"/>
              <w:jc w:val="both"/>
              <w:rPr>
                <w:lang w:val="ro-RO"/>
              </w:rPr>
            </w:pPr>
            <w:r w:rsidRPr="00D34362">
              <w:rPr>
                <w:lang w:val="ro-RO"/>
              </w:rPr>
              <w:t>c) de reprezentare;</w:t>
            </w:r>
          </w:p>
          <w:p w:rsidR="00510B41" w:rsidRPr="00D34362" w:rsidRDefault="00510B41" w:rsidP="00915F08">
            <w:pPr>
              <w:tabs>
                <w:tab w:val="left" w:pos="459"/>
              </w:tabs>
              <w:ind w:left="132"/>
              <w:jc w:val="both"/>
              <w:rPr>
                <w:lang w:val="ro-RO"/>
              </w:rPr>
            </w:pPr>
            <w:r w:rsidRPr="00D34362">
              <w:rPr>
                <w:lang w:val="ro-RO"/>
              </w:rPr>
              <w:t>d) de autoritate de stat în domeniile sale de activitate;</w:t>
            </w:r>
          </w:p>
          <w:p w:rsidR="00510B41" w:rsidRPr="00D34362" w:rsidRDefault="00510B41" w:rsidP="00915F08">
            <w:pPr>
              <w:tabs>
                <w:tab w:val="left" w:pos="459"/>
              </w:tabs>
              <w:ind w:left="132"/>
              <w:jc w:val="both"/>
              <w:rPr>
                <w:lang w:val="ro-RO"/>
              </w:rPr>
            </w:pPr>
            <w:r w:rsidRPr="00D34362">
              <w:rPr>
                <w:lang w:val="ro-RO"/>
              </w:rPr>
              <w:t>e) de administrare;</w:t>
            </w:r>
          </w:p>
          <w:p w:rsidR="00510B41" w:rsidRPr="00D34362" w:rsidRDefault="00510B41" w:rsidP="00915F08">
            <w:pPr>
              <w:tabs>
                <w:tab w:val="left" w:pos="459"/>
              </w:tabs>
              <w:ind w:left="132"/>
              <w:jc w:val="both"/>
              <w:rPr>
                <w:lang w:val="ro-RO"/>
              </w:rPr>
            </w:pPr>
            <w:r w:rsidRPr="00D34362">
              <w:rPr>
                <w:lang w:val="ro-RO"/>
              </w:rPr>
              <w:lastRenderedPageBreak/>
              <w:t>f) de implementare şi gestionare a programelor finanţate din fonduri europene, naţionale, precum şi din alte surse legal constituite;</w:t>
            </w:r>
          </w:p>
          <w:p w:rsidR="00510B41" w:rsidRPr="00D34362" w:rsidRDefault="00510B41" w:rsidP="00915F08">
            <w:pPr>
              <w:tabs>
                <w:tab w:val="left" w:pos="459"/>
              </w:tabs>
              <w:ind w:left="132"/>
              <w:jc w:val="both"/>
              <w:rPr>
                <w:lang w:val="ro-RO"/>
              </w:rPr>
            </w:pPr>
            <w:r w:rsidRPr="00D34362">
              <w:rPr>
                <w:lang w:val="ro-RO"/>
              </w:rPr>
              <w:t>g) de monitorizare şi control;</w:t>
            </w:r>
          </w:p>
          <w:p w:rsidR="00DC3511" w:rsidRPr="00D34362" w:rsidRDefault="00510B41" w:rsidP="00915F08">
            <w:pPr>
              <w:tabs>
                <w:tab w:val="left" w:pos="459"/>
              </w:tabs>
              <w:ind w:left="132"/>
              <w:jc w:val="both"/>
              <w:rPr>
                <w:lang w:val="ro-RO"/>
              </w:rPr>
            </w:pPr>
            <w:r w:rsidRPr="00D34362">
              <w:rPr>
                <w:lang w:val="ro-RO"/>
              </w:rPr>
              <w:t>h) de coordonare;</w:t>
            </w:r>
          </w:p>
          <w:p w:rsidR="00510B41" w:rsidRDefault="00510B41" w:rsidP="007416C0">
            <w:pPr>
              <w:tabs>
                <w:tab w:val="left" w:pos="459"/>
              </w:tabs>
              <w:ind w:left="132"/>
              <w:jc w:val="both"/>
              <w:rPr>
                <w:lang w:val="ro-RO"/>
              </w:rPr>
            </w:pPr>
            <w:r w:rsidRPr="00D34362">
              <w:rPr>
                <w:lang w:val="ro-RO"/>
              </w:rPr>
              <w:t xml:space="preserve">Prezenta hotărâre realizează </w:t>
            </w:r>
            <w:r w:rsidR="00200125" w:rsidRPr="00D34362">
              <w:rPr>
                <w:lang w:val="ro-RO"/>
              </w:rPr>
              <w:t xml:space="preserve">stabilirea </w:t>
            </w:r>
            <w:r w:rsidRPr="00D34362">
              <w:rPr>
                <w:lang w:val="ro-RO"/>
              </w:rPr>
              <w:t xml:space="preserve">programelor pentru care ministerul îndeplinește </w:t>
            </w:r>
            <w:r w:rsidR="00454855" w:rsidRPr="00D34362">
              <w:rPr>
                <w:lang w:val="ro-RO"/>
              </w:rPr>
              <w:t xml:space="preserve">funcţiile autorităţii de management şi îndeplineşte atribuţiile aferente acesteia, pentru: Programul operaţional sectorial "Creşterea competitivităţii economice", Programul operaţional Competitivitate, Programul operaţional sectorial "Dezvoltarea resurselor umane", Programul operaţional Capital uman, Programul operaţional Ajutorarea persoanelor defavorizate, pentru perioada de programare 2014-2020, Programul operaţional Infrastructura mare 2014-2020, </w:t>
            </w:r>
            <w:r w:rsidR="00200125" w:rsidRPr="00D34362">
              <w:rPr>
                <w:lang w:val="ro-RO"/>
              </w:rPr>
              <w:t xml:space="preserve">Programul Operațional ”Inițiativa pentru IMM-uri”, </w:t>
            </w:r>
            <w:r w:rsidR="00454855" w:rsidRPr="00D34362">
              <w:rPr>
                <w:lang w:val="ro-RO"/>
              </w:rPr>
              <w:t>Programul operaţional sectorial "Transport", Programul operaţional sectorial "Mediu" şi Program</w:t>
            </w:r>
            <w:r w:rsidR="00A32D34">
              <w:rPr>
                <w:lang w:val="ro-RO"/>
              </w:rPr>
              <w:t>ele</w:t>
            </w:r>
            <w:r w:rsidR="00454855" w:rsidRPr="00D34362">
              <w:rPr>
                <w:lang w:val="ro-RO"/>
              </w:rPr>
              <w:t xml:space="preserve"> operaţional</w:t>
            </w:r>
            <w:r w:rsidR="00A32D34">
              <w:rPr>
                <w:lang w:val="ro-RO"/>
              </w:rPr>
              <w:t>e</w:t>
            </w:r>
            <w:r w:rsidR="00454855" w:rsidRPr="00D34362">
              <w:rPr>
                <w:lang w:val="ro-RO"/>
              </w:rPr>
              <w:t xml:space="preserve"> "Asistenţă tehnică", pentru Programul ISPA.</w:t>
            </w:r>
          </w:p>
          <w:p w:rsidR="009C7327" w:rsidRPr="00D34362" w:rsidRDefault="009C7327" w:rsidP="007416C0">
            <w:pPr>
              <w:tabs>
                <w:tab w:val="left" w:pos="459"/>
              </w:tabs>
              <w:ind w:left="132"/>
              <w:jc w:val="both"/>
              <w:rPr>
                <w:lang w:val="ro-RO"/>
              </w:rPr>
            </w:pPr>
            <w:r>
              <w:rPr>
                <w:lang w:val="ro-RO"/>
              </w:rPr>
              <w:t xml:space="preserve">Cu privire la Programul Operațional Inițiativa pentru IMM –uri, pentru care </w:t>
            </w:r>
          </w:p>
          <w:p w:rsidR="0096190B" w:rsidRPr="00D34362" w:rsidRDefault="009C7327" w:rsidP="007416C0">
            <w:pPr>
              <w:tabs>
                <w:tab w:val="left" w:pos="459"/>
              </w:tabs>
              <w:ind w:left="132"/>
              <w:jc w:val="both"/>
              <w:rPr>
                <w:lang w:val="ro-RO"/>
              </w:rPr>
            </w:pPr>
            <w:r w:rsidRPr="009C7327">
              <w:rPr>
                <w:lang w:val="ro-RO"/>
              </w:rPr>
              <w:t>Ministerul Fondurilor Europene</w:t>
            </w:r>
            <w:r>
              <w:rPr>
                <w:lang w:val="ro-RO"/>
              </w:rPr>
              <w:t xml:space="preserve"> va îndeplini funcția de autoritate de management conform Ordonanței de urgență a Guvernului nr.1/2018</w:t>
            </w:r>
            <w:r>
              <w:t xml:space="preserve"> </w:t>
            </w:r>
            <w:r w:rsidRPr="009C7327">
              <w:rPr>
                <w:lang w:val="ro-RO"/>
              </w:rPr>
              <w:t>privind aprobarea  unor măsuri de reorganizare în cadrul administraţiei publice centrale şi pentru modificarea unor acte normative</w:t>
            </w:r>
            <w:r>
              <w:rPr>
                <w:lang w:val="ro-RO"/>
              </w:rPr>
              <w:t>, acesta va fi gestionat în condițiile prevăzute de actele normative aplicabile, atât la nivel european cat și național, de către structura internă desemnată în acest scop.</w:t>
            </w:r>
          </w:p>
          <w:p w:rsidR="0019501F" w:rsidRPr="00D34362" w:rsidRDefault="0096190B" w:rsidP="007416C0">
            <w:pPr>
              <w:tabs>
                <w:tab w:val="left" w:pos="459"/>
              </w:tabs>
              <w:ind w:left="132"/>
              <w:jc w:val="both"/>
              <w:rPr>
                <w:lang w:val="ro-RO"/>
              </w:rPr>
            </w:pPr>
            <w:r w:rsidRPr="00D34362">
              <w:rPr>
                <w:lang w:val="ro-RO"/>
              </w:rPr>
              <w:t>Ministerul Fondurilor Europene este autoritatea pentru:</w:t>
            </w:r>
            <w:r w:rsidR="00291F03" w:rsidRPr="00D34362">
              <w:rPr>
                <w:lang w:val="ro-RO"/>
              </w:rPr>
              <w:t>c</w:t>
            </w:r>
            <w:r w:rsidRPr="00D34362">
              <w:rPr>
                <w:lang w:val="ro-RO"/>
              </w:rPr>
              <w:t>oordonarea instrumentelor structurale 2007-2013, coordonarea fondurilor europene structurale şi de investiţii 2014-2020, potrivit dispoziţiilor art. 123 alin. (8) din Regulamentul (UE) nr. 1.303/2013 al Parlamentului European şi al Consiliului din 17 decembrie 2013 de stabilire a unor dispoziţii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şi de abrogare a Regulamentului (CE) nr. 1.083/2006 al Consiliului, coordonarea fondurilor europene structurale şi de investiţii post 2020, coordonarea fondurilor alocate prin Mecansmul pentru Interconectarea Europei mecanismele financiare ale Spaţiului Economic European şi norvegian 2009-2014, mecanismele financiare ale Spaţiului Economic European şi norvegian 2014-2021, programarea, coordonarea altor mecanisme/instrumente/programe finanţate din fonduri externe nerambursabile, coordonarea, monitorizarea şi controlul utilizării asistenţei financiare nerambursabile acordate României de către Uniunea Europeană pentru programele pe care le gestionează.</w:t>
            </w:r>
          </w:p>
          <w:p w:rsidR="0096190B" w:rsidRPr="00D34362" w:rsidRDefault="0096190B" w:rsidP="007416C0">
            <w:pPr>
              <w:tabs>
                <w:tab w:val="left" w:pos="459"/>
              </w:tabs>
              <w:ind w:left="132"/>
              <w:jc w:val="both"/>
              <w:rPr>
                <w:lang w:val="ro-RO"/>
              </w:rPr>
            </w:pPr>
          </w:p>
          <w:p w:rsidR="00570932" w:rsidRPr="00D34362" w:rsidRDefault="00454855" w:rsidP="007416C0">
            <w:pPr>
              <w:tabs>
                <w:tab w:val="left" w:pos="459"/>
              </w:tabs>
              <w:ind w:left="132"/>
              <w:jc w:val="both"/>
              <w:rPr>
                <w:lang w:val="ro-RO"/>
              </w:rPr>
            </w:pPr>
            <w:r w:rsidRPr="00D34362">
              <w:rPr>
                <w:lang w:val="ro-RO"/>
              </w:rPr>
              <w:t xml:space="preserve">Ministerul Fondurilor Europene îndeplineşte </w:t>
            </w:r>
            <w:r w:rsidR="00570932" w:rsidRPr="00D34362">
              <w:rPr>
                <w:lang w:val="ro-RO"/>
              </w:rPr>
              <w:t>următoarele funcți:</w:t>
            </w:r>
          </w:p>
          <w:p w:rsidR="00454855" w:rsidRPr="00D34362" w:rsidRDefault="00570932" w:rsidP="007416C0">
            <w:pPr>
              <w:tabs>
                <w:tab w:val="left" w:pos="459"/>
              </w:tabs>
              <w:ind w:left="132"/>
              <w:jc w:val="both"/>
              <w:rPr>
                <w:lang w:val="ro-RO"/>
              </w:rPr>
            </w:pPr>
            <w:r w:rsidRPr="00D34362">
              <w:rPr>
                <w:lang w:val="ro-RO"/>
              </w:rPr>
              <w:t>-</w:t>
            </w:r>
            <w:r w:rsidR="00454855" w:rsidRPr="00D34362">
              <w:rPr>
                <w:lang w:val="ro-RO"/>
              </w:rPr>
              <w:t xml:space="preserve"> de operator de program potrivit prevederilor anexei B la Memorandumul de înţelegere privind implementarea Mecanismului financiar norvegian 2009-2014 şi ale anexei B la Memorandumul de înţelegere privind implementarea Mecanismului financiar al Spaţiului Economic European </w:t>
            </w:r>
            <w:r w:rsidR="00454855" w:rsidRPr="00D34362">
              <w:rPr>
                <w:lang w:val="ro-RO"/>
              </w:rPr>
              <w:lastRenderedPageBreak/>
              <w:t>2009-2014.</w:t>
            </w:r>
          </w:p>
          <w:p w:rsidR="00570932" w:rsidRPr="00D34362" w:rsidRDefault="00200125" w:rsidP="007416C0">
            <w:pPr>
              <w:pStyle w:val="ListParagraph"/>
              <w:numPr>
                <w:ilvl w:val="0"/>
                <w:numId w:val="28"/>
              </w:numPr>
              <w:tabs>
                <w:tab w:val="left" w:pos="459"/>
              </w:tabs>
              <w:ind w:left="132"/>
              <w:jc w:val="both"/>
              <w:rPr>
                <w:lang w:val="ro-RO"/>
              </w:rPr>
            </w:pPr>
            <w:r w:rsidRPr="00D34362">
              <w:rPr>
                <w:lang w:val="ro-RO"/>
              </w:rPr>
              <w:t>-</w:t>
            </w:r>
            <w:r w:rsidR="00454855" w:rsidRPr="00D34362">
              <w:rPr>
                <w:lang w:val="ro-RO"/>
              </w:rPr>
              <w:t xml:space="preserve"> de punct naţional de contact potrivit Memorandumului de înţelegere pentru </w:t>
            </w:r>
          </w:p>
          <w:p w:rsidR="00454855" w:rsidRPr="00D34362" w:rsidRDefault="00454855" w:rsidP="007416C0">
            <w:pPr>
              <w:tabs>
                <w:tab w:val="left" w:pos="459"/>
              </w:tabs>
              <w:ind w:left="132"/>
              <w:jc w:val="both"/>
              <w:rPr>
                <w:lang w:val="ro-RO"/>
              </w:rPr>
            </w:pPr>
            <w:r w:rsidRPr="00D34362">
              <w:rPr>
                <w:lang w:val="ro-RO"/>
              </w:rPr>
              <w:t>implementarea Mecanismului financiar al Spaţiului Economic European 2004-2009, a Memorandumului de înţelegere pentru Programul de cooperare norvegian pentru creştere economică şi dezvoltare durabilă 2004-2009, potrivit Memorandumului de înţelegere privind implementarea Mecanismului financiar al Spaţiului Economic European 2009-2014 şi a Memorandumului de înţelegere privind implementarea Mecanismului financiar norvegian 2009-2014, precum şi a Memorandumului de înţelegere privind implementarea Mecanismului financiar al Spaţiului Economic European 2014-2021 şi a Memorandumului de înţelegere privind implementarea Mecanismului financiar norvegian 2014-2021 şi pentru programele de înfrăţire instituţională şi de asistenţă tehnică cu statele care beneficiază de finanţări nerambursabile din partea Uniunii Europene.</w:t>
            </w:r>
          </w:p>
          <w:p w:rsidR="00570932" w:rsidRPr="00D34362" w:rsidRDefault="00510B41" w:rsidP="007416C0">
            <w:pPr>
              <w:pStyle w:val="ListParagraph"/>
              <w:numPr>
                <w:ilvl w:val="0"/>
                <w:numId w:val="28"/>
              </w:numPr>
              <w:tabs>
                <w:tab w:val="left" w:pos="459"/>
              </w:tabs>
              <w:ind w:left="132"/>
              <w:jc w:val="both"/>
              <w:rPr>
                <w:lang w:val="ro-RO"/>
              </w:rPr>
            </w:pPr>
            <w:r w:rsidRPr="00D34362">
              <w:rPr>
                <w:lang w:val="ro-RO"/>
              </w:rPr>
              <w:t xml:space="preserve"> </w:t>
            </w:r>
            <w:r w:rsidR="00200125" w:rsidRPr="00D34362">
              <w:rPr>
                <w:lang w:val="ro-RO"/>
              </w:rPr>
              <w:t xml:space="preserve">- </w:t>
            </w:r>
            <w:r w:rsidRPr="00D34362">
              <w:rPr>
                <w:lang w:val="ro-RO"/>
              </w:rPr>
              <w:t xml:space="preserve">de autoritate de plată pentru programul Facilitatea Schengen, Facilitatea de </w:t>
            </w:r>
          </w:p>
          <w:p w:rsidR="00510B41" w:rsidRPr="00D34362" w:rsidRDefault="00510B41" w:rsidP="007416C0">
            <w:pPr>
              <w:tabs>
                <w:tab w:val="left" w:pos="459"/>
              </w:tabs>
              <w:ind w:left="132"/>
              <w:jc w:val="both"/>
              <w:rPr>
                <w:lang w:val="ro-RO"/>
              </w:rPr>
            </w:pPr>
            <w:r w:rsidRPr="00D34362">
              <w:rPr>
                <w:lang w:val="ro-RO"/>
              </w:rPr>
              <w:t>tranziţie, Fondul frontierelor externe, Programul de cooperare elveţiano-român şi Fondul pentru Securitate Internă 2014-2020.</w:t>
            </w:r>
          </w:p>
          <w:p w:rsidR="00510B41" w:rsidRPr="00D34362" w:rsidRDefault="00510B41" w:rsidP="007416C0">
            <w:pPr>
              <w:tabs>
                <w:tab w:val="left" w:pos="459"/>
              </w:tabs>
              <w:ind w:left="132"/>
              <w:jc w:val="both"/>
              <w:rPr>
                <w:lang w:val="ro-RO"/>
              </w:rPr>
            </w:pPr>
            <w:r w:rsidRPr="00D34362">
              <w:rPr>
                <w:lang w:val="ro-RO"/>
              </w:rPr>
              <w:t>Prezenta hotărâre include structura organizatorică și numărul de posturi necesare îndeplinirii în bune condiții a tuturor  atribuțiilor și responsabilităților</w:t>
            </w:r>
            <w:r w:rsidR="00570932" w:rsidRPr="00D34362">
              <w:rPr>
                <w:lang w:val="ro-RO"/>
              </w:rPr>
              <w:t xml:space="preserve"> Ministerului Fondurilor Europene</w:t>
            </w:r>
            <w:r w:rsidRPr="00D34362">
              <w:rPr>
                <w:lang w:val="ro-RO"/>
              </w:rPr>
              <w:t>.</w:t>
            </w:r>
          </w:p>
          <w:p w:rsidR="00510B41" w:rsidRPr="00D34362" w:rsidRDefault="00D127B5" w:rsidP="007416C0">
            <w:pPr>
              <w:tabs>
                <w:tab w:val="left" w:pos="459"/>
              </w:tabs>
              <w:ind w:left="132"/>
              <w:jc w:val="both"/>
              <w:rPr>
                <w:lang w:val="ro-RO"/>
              </w:rPr>
            </w:pPr>
            <w:r w:rsidRPr="00D34362">
              <w:rPr>
                <w:lang w:val="ro-RO"/>
              </w:rPr>
              <w:t>A</w:t>
            </w:r>
            <w:r w:rsidR="00510B41" w:rsidRPr="00D34362">
              <w:rPr>
                <w:lang w:val="ro-RO"/>
              </w:rPr>
              <w:t>tribuțiile ministrului fondurilor europene</w:t>
            </w:r>
            <w:r w:rsidRPr="00D34362">
              <w:rPr>
                <w:lang w:val="ro-RO"/>
              </w:rPr>
              <w:t xml:space="preserve"> sunt stabilite </w:t>
            </w:r>
            <w:r w:rsidR="00510B41" w:rsidRPr="00D34362">
              <w:rPr>
                <w:lang w:val="ro-RO"/>
              </w:rPr>
              <w:t>în conformitate cu prevederile Legii nr. 90/2001 privind organizarea şi funcţionarea Guvernului României şi a ministerelor, cu modificările şi completările ulterioare, precum și cu prevederile Ordonanței de urgență a Guvernului nr.</w:t>
            </w:r>
            <w:r w:rsidR="00200125" w:rsidRPr="00D34362">
              <w:rPr>
                <w:lang w:val="ro-RO"/>
              </w:rPr>
              <w:t xml:space="preserve"> 1</w:t>
            </w:r>
            <w:r w:rsidR="00510B41" w:rsidRPr="00D34362">
              <w:rPr>
                <w:lang w:val="ro-RO"/>
              </w:rPr>
              <w:t>/2018.</w:t>
            </w:r>
          </w:p>
          <w:p w:rsidR="002C3389" w:rsidRPr="00D34362" w:rsidRDefault="002C3389" w:rsidP="007416C0">
            <w:pPr>
              <w:tabs>
                <w:tab w:val="left" w:pos="459"/>
              </w:tabs>
              <w:ind w:left="132"/>
              <w:jc w:val="both"/>
              <w:rPr>
                <w:lang w:val="ro-RO"/>
              </w:rPr>
            </w:pPr>
            <w:r w:rsidRPr="00D34362">
              <w:rPr>
                <w:lang w:val="ro-RO"/>
              </w:rPr>
              <w:t>Patrimoniul Fondurilor Europene se constituie prin preluarea patrimoniului Min</w:t>
            </w:r>
            <w:r w:rsidR="00D127B5" w:rsidRPr="00D34362">
              <w:rPr>
                <w:lang w:val="ro-RO"/>
              </w:rPr>
              <w:t xml:space="preserve">isterului Dezvoltării Regionale, </w:t>
            </w:r>
            <w:r w:rsidRPr="00D34362">
              <w:rPr>
                <w:lang w:val="ro-RO"/>
              </w:rPr>
              <w:t xml:space="preserve">Administrației Publice </w:t>
            </w:r>
            <w:r w:rsidR="00D127B5" w:rsidRPr="00D34362">
              <w:rPr>
                <w:lang w:val="ro-RO"/>
              </w:rPr>
              <w:t xml:space="preserve">și Fondurilor Europene </w:t>
            </w:r>
            <w:r w:rsidRPr="00D34362">
              <w:rPr>
                <w:lang w:val="ro-RO"/>
              </w:rPr>
              <w:t xml:space="preserve">pe baza protocolului de predare-preluare ce se va încheia în termenul prevăzut de Ordonanţa de urgenţă a Guvernului nr. </w:t>
            </w:r>
            <w:r w:rsidR="00200125" w:rsidRPr="00D34362">
              <w:rPr>
                <w:lang w:val="ro-RO"/>
              </w:rPr>
              <w:t>1</w:t>
            </w:r>
            <w:r w:rsidRPr="00D34362">
              <w:rPr>
                <w:lang w:val="ro-RO"/>
              </w:rPr>
              <w:t>/2018.</w:t>
            </w:r>
          </w:p>
          <w:p w:rsidR="00570932" w:rsidRPr="00D34362" w:rsidRDefault="00D127B5" w:rsidP="007416C0">
            <w:pPr>
              <w:tabs>
                <w:tab w:val="left" w:pos="459"/>
              </w:tabs>
              <w:ind w:left="132"/>
              <w:jc w:val="both"/>
              <w:rPr>
                <w:lang w:val="ro-RO"/>
              </w:rPr>
            </w:pPr>
            <w:r w:rsidRPr="00D34362">
              <w:rPr>
                <w:lang w:val="ro-RO"/>
              </w:rPr>
              <w:t xml:space="preserve">Personalul ministerului este constituit din funcționari publici și </w:t>
            </w:r>
            <w:r w:rsidR="00570932" w:rsidRPr="00D34362">
              <w:rPr>
                <w:lang w:val="ro-RO"/>
              </w:rPr>
              <w:t xml:space="preserve">personal </w:t>
            </w:r>
            <w:r w:rsidRPr="00D34362">
              <w:rPr>
                <w:lang w:val="ro-RO"/>
              </w:rPr>
              <w:t>contractu</w:t>
            </w:r>
            <w:r w:rsidR="00570932" w:rsidRPr="00D34362">
              <w:rPr>
                <w:lang w:val="ro-RO"/>
              </w:rPr>
              <w:t>a</w:t>
            </w:r>
            <w:r w:rsidRPr="00D34362">
              <w:rPr>
                <w:lang w:val="ro-RO"/>
              </w:rPr>
              <w:t xml:space="preserve">l. </w:t>
            </w:r>
          </w:p>
          <w:p w:rsidR="00B256D9" w:rsidRDefault="00B532C2" w:rsidP="007416C0">
            <w:pPr>
              <w:tabs>
                <w:tab w:val="left" w:pos="459"/>
              </w:tabs>
              <w:ind w:left="132"/>
              <w:jc w:val="both"/>
              <w:rPr>
                <w:lang w:val="ro-RO"/>
              </w:rPr>
            </w:pPr>
            <w:r w:rsidRPr="00D34362">
              <w:rPr>
                <w:lang w:val="ro-RO"/>
              </w:rPr>
              <w:t>Aplicarea procedurilor legale prevăzute de Legea nr. 188/1999 privind Statutul funcţionarilor publici, republicată, cu modificările şi completările ulterioare, precum și respectarea regimului juridic aplicabil personalului contractual cu privire la măsurile de reorganizare din cadrul structurii organizatorice a Ministerului Fondurilor Europene se realizează în termen de minimum 30 de zile de la data intrării în vigoare a prezentei hotărâri.</w:t>
            </w:r>
          </w:p>
          <w:p w:rsidR="00712B6B" w:rsidRPr="00D34362" w:rsidRDefault="00712B6B" w:rsidP="007416C0">
            <w:pPr>
              <w:tabs>
                <w:tab w:val="left" w:pos="459"/>
              </w:tabs>
              <w:ind w:left="132"/>
              <w:jc w:val="both"/>
              <w:rPr>
                <w:lang w:val="ro-RO"/>
              </w:rPr>
            </w:pPr>
            <w:r>
              <w:rPr>
                <w:lang w:val="ro-RO"/>
              </w:rPr>
              <w:t xml:space="preserve">Prezentul </w:t>
            </w:r>
            <w:r w:rsidRPr="00712B6B">
              <w:rPr>
                <w:lang w:val="ro-RO"/>
              </w:rPr>
              <w:t xml:space="preserve">proiect de hotăîrâre </w:t>
            </w:r>
            <w:r>
              <w:rPr>
                <w:lang w:val="ro-RO"/>
              </w:rPr>
              <w:t>a</w:t>
            </w:r>
            <w:r w:rsidRPr="00712B6B">
              <w:rPr>
                <w:lang w:val="ro-RO"/>
              </w:rPr>
              <w:t xml:space="preserve"> Guvern</w:t>
            </w:r>
            <w:r>
              <w:rPr>
                <w:lang w:val="ro-RO"/>
              </w:rPr>
              <w:t>ului</w:t>
            </w:r>
            <w:r w:rsidRPr="00712B6B">
              <w:rPr>
                <w:lang w:val="ro-RO"/>
              </w:rPr>
              <w:t>, prevede pentru aparatul propriu al Ministerului Fond</w:t>
            </w:r>
            <w:r w:rsidR="007263A3">
              <w:rPr>
                <w:lang w:val="ro-RO"/>
              </w:rPr>
              <w:t>urilor Europene un număr de 1377 posturi ( din care 1039</w:t>
            </w:r>
            <w:r w:rsidRPr="00712B6B">
              <w:rPr>
                <w:lang w:val="ro-RO"/>
              </w:rPr>
              <w:t xml:space="preserve"> posturi pe aparatul propriu [includ  și cele 19 posturi preluate de la Ministerul Muncii și Justiției Sociale ] și 338 posturi aferente OI POSDRU).</w:t>
            </w:r>
          </w:p>
          <w:p w:rsidR="009C328A" w:rsidRDefault="00712B6B" w:rsidP="007416C0">
            <w:pPr>
              <w:autoSpaceDE w:val="0"/>
              <w:autoSpaceDN w:val="0"/>
              <w:adjustRightInd w:val="0"/>
              <w:jc w:val="both"/>
              <w:rPr>
                <w:lang w:val="ro-RO"/>
              </w:rPr>
            </w:pPr>
            <w:r>
              <w:rPr>
                <w:lang w:val="ro-RO"/>
              </w:rPr>
              <w:t xml:space="preserve">  La fundamentarea numărului de posturi precizat anterior, s-au avut în vedere următoarele aspecte:</w:t>
            </w:r>
          </w:p>
          <w:p w:rsidR="00712B6B" w:rsidRPr="00712B6B" w:rsidRDefault="00712B6B" w:rsidP="00712B6B">
            <w:pPr>
              <w:autoSpaceDE w:val="0"/>
              <w:autoSpaceDN w:val="0"/>
              <w:adjustRightInd w:val="0"/>
              <w:jc w:val="both"/>
              <w:rPr>
                <w:lang w:val="ro-RO"/>
              </w:rPr>
            </w:pPr>
            <w:r w:rsidRPr="00712B6B">
              <w:rPr>
                <w:lang w:val="ro-RO"/>
              </w:rPr>
              <w:t></w:t>
            </w:r>
            <w:r w:rsidRPr="00712B6B">
              <w:rPr>
                <w:lang w:val="ro-RO"/>
              </w:rPr>
              <w:tab/>
              <w:t>necesitatea asigurării funcționarii structurilor suport în condiții de eficacitate, luând în considerare faptul că odată cu preluarea personalului la MDRAPFE  au fost preluate și posturile vacante alocate acestor structurii</w:t>
            </w:r>
            <w:r>
              <w:rPr>
                <w:lang w:val="ro-RO"/>
              </w:rPr>
              <w:t>,</w:t>
            </w:r>
            <w:r w:rsidRPr="00712B6B">
              <w:rPr>
                <w:lang w:val="ro-RO"/>
              </w:rPr>
              <w:t xml:space="preserve"> în luna decembrie 2016, ca urmare a dimensionării volumului de activitate al </w:t>
            </w:r>
            <w:r w:rsidRPr="00712B6B">
              <w:rPr>
                <w:lang w:val="ro-RO"/>
              </w:rPr>
              <w:lastRenderedPageBreak/>
              <w:t xml:space="preserve">fostului MFE, posturi care ulterior au fost ocupate la nivelul structurilor de specialitate în cadrul MDRAPFE. </w:t>
            </w:r>
          </w:p>
          <w:p w:rsidR="00712B6B" w:rsidRDefault="00712B6B" w:rsidP="00712B6B">
            <w:pPr>
              <w:autoSpaceDE w:val="0"/>
              <w:autoSpaceDN w:val="0"/>
              <w:adjustRightInd w:val="0"/>
              <w:jc w:val="both"/>
              <w:rPr>
                <w:lang w:val="ro-RO"/>
              </w:rPr>
            </w:pPr>
            <w:r w:rsidRPr="00712B6B">
              <w:rPr>
                <w:lang w:val="ro-RO"/>
              </w:rPr>
              <w:t>Menționăm faptul că personalul actual al structurilor suport este insuficient pentru a  se asigura suportul necesar funcționalității co</w:t>
            </w:r>
            <w:r>
              <w:rPr>
                <w:lang w:val="ro-RO"/>
              </w:rPr>
              <w:t>respunzătoare acestor structuri</w:t>
            </w:r>
            <w:r w:rsidRPr="00712B6B">
              <w:rPr>
                <w:lang w:val="ro-RO"/>
              </w:rPr>
              <w:t>.</w:t>
            </w:r>
          </w:p>
          <w:p w:rsidR="00712B6B" w:rsidRPr="00712B6B" w:rsidRDefault="00712B6B" w:rsidP="00712B6B">
            <w:pPr>
              <w:autoSpaceDE w:val="0"/>
              <w:autoSpaceDN w:val="0"/>
              <w:adjustRightInd w:val="0"/>
              <w:jc w:val="both"/>
              <w:rPr>
                <w:lang w:val="ro-RO"/>
              </w:rPr>
            </w:pPr>
            <w:r w:rsidRPr="00712B6B">
              <w:rPr>
                <w:lang w:val="ro-RO"/>
              </w:rPr>
              <w:t></w:t>
            </w:r>
            <w:r w:rsidRPr="00712B6B">
              <w:rPr>
                <w:lang w:val="ro-RO"/>
              </w:rPr>
              <w:tab/>
              <w:t>La nivelul structurii juridice suplimentarea este necesară având în vedere următoarele considerente:</w:t>
            </w:r>
          </w:p>
          <w:p w:rsidR="00712B6B" w:rsidRPr="00712B6B" w:rsidRDefault="00712B6B" w:rsidP="00712B6B">
            <w:pPr>
              <w:autoSpaceDE w:val="0"/>
              <w:autoSpaceDN w:val="0"/>
              <w:adjustRightInd w:val="0"/>
              <w:jc w:val="both"/>
              <w:rPr>
                <w:lang w:val="ro-RO"/>
              </w:rPr>
            </w:pPr>
            <w:r w:rsidRPr="00712B6B">
              <w:rPr>
                <w:lang w:val="ro-RO"/>
              </w:rPr>
              <w:t>-</w:t>
            </w:r>
            <w:r w:rsidRPr="00712B6B">
              <w:rPr>
                <w:lang w:val="ro-RO"/>
              </w:rPr>
              <w:tab/>
              <w:t>în cadrul structurii juridice se va acorda viza de legalitate pentru contractele de finanțare încheiate în cadrul programelor; se vor aviza strategiile de contractare pe toate fondurile aferente programelor gestionate de instituția noastră, inclusiv pe bugetul de stat; se vor analiza și aviza ghidurile solicitantului pe fiecare program/apel/prioritate etc., activitate care implică analizarea Programelor, a conformității prevederilor din Ghiduri cu acestea, a analizării și transmiterii de observații pe condițiile contractuale specifice atașate ghidurilor, parte integrantă a ordinelor prin care se aprobă acestea; se vor transmite puncte de vedere pe aspecte juridice aferente domeniilor de competență ale instituției noastre, așa cum sunt reglementate acestea;</w:t>
            </w:r>
          </w:p>
          <w:p w:rsidR="00712B6B" w:rsidRPr="00712B6B" w:rsidRDefault="00712B6B" w:rsidP="00712B6B">
            <w:pPr>
              <w:autoSpaceDE w:val="0"/>
              <w:autoSpaceDN w:val="0"/>
              <w:adjustRightInd w:val="0"/>
              <w:jc w:val="both"/>
              <w:rPr>
                <w:lang w:val="ro-RO"/>
              </w:rPr>
            </w:pPr>
            <w:r w:rsidRPr="00712B6B">
              <w:rPr>
                <w:lang w:val="ro-RO"/>
              </w:rPr>
              <w:t>-</w:t>
            </w:r>
            <w:r w:rsidRPr="00712B6B">
              <w:rPr>
                <w:lang w:val="ro-RO"/>
              </w:rPr>
              <w:tab/>
              <w:t>se elaborează, se formulează și se susțin în fața instanțelor de judecată toate apărările și căile de atac necesare în litigiile generate de activitatea ministerului în domeniu fondurilor europene cât și în toate celelalte litigii în care ministerul este parte/va fi parte ( de la data intrării în vigoare a Ordonanței de urgență a Guvernului nr.1/2017 au fost înregistrate aproximativ 460 de noi litigii în care Ministerul Fondurilor Europene este parte și în care reprezentarea în instanță se va asigurade către structura juridică).</w:t>
            </w:r>
          </w:p>
          <w:p w:rsidR="00712B6B" w:rsidRPr="00712B6B" w:rsidRDefault="00712B6B" w:rsidP="00712B6B">
            <w:pPr>
              <w:autoSpaceDE w:val="0"/>
              <w:autoSpaceDN w:val="0"/>
              <w:adjustRightInd w:val="0"/>
              <w:jc w:val="both"/>
              <w:rPr>
                <w:lang w:val="ro-RO"/>
              </w:rPr>
            </w:pPr>
            <w:r w:rsidRPr="00712B6B">
              <w:rPr>
                <w:lang w:val="ro-RO"/>
              </w:rPr>
              <w:t>-</w:t>
            </w:r>
            <w:r w:rsidRPr="00712B6B">
              <w:rPr>
                <w:lang w:val="ro-RO"/>
              </w:rPr>
              <w:tab/>
              <w:t>structura juridică realizează procedura de avizare internă și interinstituțională pentru proiectele de acte normative d</w:t>
            </w:r>
            <w:r w:rsidR="004E3FD0">
              <w:rPr>
                <w:lang w:val="ro-RO"/>
              </w:rPr>
              <w:t xml:space="preserve">in domeniul fondurilor europene precum și </w:t>
            </w:r>
            <w:r w:rsidRPr="00712B6B">
              <w:rPr>
                <w:lang w:val="ro-RO"/>
              </w:rPr>
              <w:t>procedura parlamentară pentru proiectele din domeniul de activitate și gestionează răspunsurile la întrebările și interpelările senatorilor și deputaților.</w:t>
            </w:r>
          </w:p>
          <w:p w:rsidR="00712B6B" w:rsidRPr="00712B6B" w:rsidRDefault="00712B6B" w:rsidP="00712B6B">
            <w:pPr>
              <w:autoSpaceDE w:val="0"/>
              <w:autoSpaceDN w:val="0"/>
              <w:adjustRightInd w:val="0"/>
              <w:jc w:val="both"/>
              <w:rPr>
                <w:lang w:val="ro-RO"/>
              </w:rPr>
            </w:pPr>
            <w:r w:rsidRPr="00712B6B">
              <w:rPr>
                <w:lang w:val="ro-RO"/>
              </w:rPr>
              <w:t>-</w:t>
            </w:r>
            <w:r w:rsidRPr="00712B6B">
              <w:rPr>
                <w:lang w:val="ro-RO"/>
              </w:rPr>
              <w:tab/>
              <w:t>de asemenea, sunt avizate proiectele de acte normative inițiate de ministerul fondurilor europene, realizându-se întreaga procedura prevăzuta de H.G. nr.561/2009 pentru aprobarea Regulamentului privind procedurile, la nivelul Guvernului, pentru elaborarea, avizarea și prezentarea proiectelor de documente de politici publice, a proiectelor de acte normative, precum și a altor documente, în vederea adoptării/aprobării.</w:t>
            </w:r>
          </w:p>
          <w:p w:rsidR="00712B6B" w:rsidRPr="00712B6B" w:rsidRDefault="00712B6B" w:rsidP="00712B6B">
            <w:pPr>
              <w:autoSpaceDE w:val="0"/>
              <w:autoSpaceDN w:val="0"/>
              <w:adjustRightInd w:val="0"/>
              <w:jc w:val="both"/>
              <w:rPr>
                <w:lang w:val="ro-RO"/>
              </w:rPr>
            </w:pPr>
          </w:p>
          <w:p w:rsidR="00712B6B" w:rsidRPr="00712B6B" w:rsidRDefault="00712B6B" w:rsidP="00712B6B">
            <w:pPr>
              <w:autoSpaceDE w:val="0"/>
              <w:autoSpaceDN w:val="0"/>
              <w:adjustRightInd w:val="0"/>
              <w:jc w:val="both"/>
              <w:rPr>
                <w:lang w:val="ro-RO"/>
              </w:rPr>
            </w:pPr>
            <w:r w:rsidRPr="00712B6B">
              <w:rPr>
                <w:lang w:val="ro-RO"/>
              </w:rPr>
              <w:t></w:t>
            </w:r>
            <w:r w:rsidRPr="00712B6B">
              <w:rPr>
                <w:lang w:val="ro-RO"/>
              </w:rPr>
              <w:tab/>
              <w:t xml:space="preserve">La nivelul structurii de resurse </w:t>
            </w:r>
            <w:r w:rsidR="004E3FD0">
              <w:rPr>
                <w:lang w:val="ro-RO"/>
              </w:rPr>
              <w:t xml:space="preserve">s-au luat în considerare </w:t>
            </w:r>
            <w:r w:rsidRPr="00712B6B">
              <w:rPr>
                <w:lang w:val="ro-RO"/>
              </w:rPr>
              <w:t>următoarele :</w:t>
            </w:r>
          </w:p>
          <w:p w:rsidR="00712B6B" w:rsidRPr="004E3FD0" w:rsidRDefault="00712B6B" w:rsidP="00A86FAF">
            <w:pPr>
              <w:pStyle w:val="ListParagraph"/>
              <w:numPr>
                <w:ilvl w:val="0"/>
                <w:numId w:val="28"/>
              </w:numPr>
              <w:autoSpaceDE w:val="0"/>
              <w:autoSpaceDN w:val="0"/>
              <w:adjustRightInd w:val="0"/>
              <w:jc w:val="both"/>
              <w:rPr>
                <w:lang w:val="ro-RO"/>
              </w:rPr>
            </w:pPr>
            <w:r w:rsidRPr="004E3FD0">
              <w:rPr>
                <w:lang w:val="ro-RO"/>
              </w:rPr>
              <w:t xml:space="preserve">se impune ca structura de resurse </w:t>
            </w:r>
            <w:r w:rsidR="004E3FD0">
              <w:rPr>
                <w:lang w:val="ro-RO"/>
              </w:rPr>
              <w:t xml:space="preserve">să </w:t>
            </w:r>
            <w:r w:rsidRPr="004E3FD0">
              <w:rPr>
                <w:lang w:val="ro-RO"/>
              </w:rPr>
              <w:t>asigure pe de o parte gestionarea activităților ce țin de resurse umane și tot ceea ce derivă din aceste activități care să fie asigurată de o structură funcțională  organizată la nivel de direcție, iar pe de altă parte administrarea capacității administrative, care să fie asigurată de o structură organizată la nivel de serviciu.</w:t>
            </w:r>
          </w:p>
          <w:p w:rsidR="00712B6B" w:rsidRPr="00712B6B" w:rsidRDefault="00530BDC" w:rsidP="00712B6B">
            <w:pPr>
              <w:autoSpaceDE w:val="0"/>
              <w:autoSpaceDN w:val="0"/>
              <w:adjustRightInd w:val="0"/>
              <w:jc w:val="both"/>
              <w:rPr>
                <w:lang w:val="ro-RO"/>
              </w:rPr>
            </w:pPr>
            <w:r w:rsidRPr="00530BDC">
              <w:rPr>
                <w:lang w:val="ro-RO"/>
              </w:rPr>
              <w:t></w:t>
            </w:r>
            <w:r w:rsidR="00712B6B" w:rsidRPr="00712B6B">
              <w:rPr>
                <w:lang w:val="ro-RO"/>
              </w:rPr>
              <w:tab/>
              <w:t xml:space="preserve">La nivelul celorlalte structuri suport </w:t>
            </w:r>
            <w:r w:rsidR="004E3FD0">
              <w:rPr>
                <w:lang w:val="ro-RO"/>
              </w:rPr>
              <w:t>este necesară asigurarea</w:t>
            </w:r>
            <w:r w:rsidR="00712B6B" w:rsidRPr="00712B6B">
              <w:rPr>
                <w:lang w:val="ro-RO"/>
              </w:rPr>
              <w:t xml:space="preserve"> funcționalit</w:t>
            </w:r>
            <w:r w:rsidR="004E3FD0">
              <w:rPr>
                <w:lang w:val="ro-RO"/>
              </w:rPr>
              <w:t>ății</w:t>
            </w:r>
            <w:r w:rsidR="00712B6B" w:rsidRPr="00712B6B">
              <w:rPr>
                <w:lang w:val="ro-RO"/>
              </w:rPr>
              <w:t xml:space="preserve"> pentru structura de achiziții și servicii interne, financiar contrabilitate, buget</w:t>
            </w:r>
            <w:r w:rsidR="004E3FD0">
              <w:rPr>
                <w:lang w:val="ro-RO"/>
              </w:rPr>
              <w:t>, salarizare.</w:t>
            </w:r>
          </w:p>
          <w:p w:rsidR="00712B6B" w:rsidRPr="00D34362" w:rsidRDefault="00712B6B" w:rsidP="00A86FAF">
            <w:pPr>
              <w:autoSpaceDE w:val="0"/>
              <w:autoSpaceDN w:val="0"/>
              <w:adjustRightInd w:val="0"/>
              <w:jc w:val="both"/>
              <w:rPr>
                <w:lang w:val="ro-RO"/>
              </w:rPr>
            </w:pPr>
          </w:p>
        </w:tc>
      </w:tr>
      <w:tr w:rsidR="00D34362" w:rsidRPr="00D34362">
        <w:trPr>
          <w:gridAfter w:val="2"/>
          <w:wAfter w:w="46" w:type="dxa"/>
          <w:trHeight w:val="60"/>
        </w:trPr>
        <w:tc>
          <w:tcPr>
            <w:tcW w:w="2748" w:type="dxa"/>
            <w:shd w:val="clear" w:color="auto" w:fill="auto"/>
          </w:tcPr>
          <w:p w:rsidR="00F33637" w:rsidRPr="00D34362" w:rsidRDefault="00D91D55" w:rsidP="007253CE">
            <w:pPr>
              <w:jc w:val="both"/>
              <w:rPr>
                <w:lang w:val="ro-RO"/>
              </w:rPr>
            </w:pPr>
            <w:r w:rsidRPr="00D34362">
              <w:rPr>
                <w:lang w:val="ro-RO"/>
              </w:rPr>
              <w:lastRenderedPageBreak/>
              <w:t>3. Alte informaţii</w:t>
            </w:r>
          </w:p>
        </w:tc>
        <w:tc>
          <w:tcPr>
            <w:tcW w:w="7707" w:type="dxa"/>
            <w:gridSpan w:val="8"/>
            <w:shd w:val="clear" w:color="auto" w:fill="auto"/>
          </w:tcPr>
          <w:p w:rsidR="002727F0" w:rsidRPr="00D34362" w:rsidRDefault="00F33637" w:rsidP="00E9307C">
            <w:pPr>
              <w:autoSpaceDE w:val="0"/>
              <w:autoSpaceDN w:val="0"/>
              <w:adjustRightInd w:val="0"/>
              <w:jc w:val="both"/>
              <w:rPr>
                <w:lang w:val="ro-RO"/>
              </w:rPr>
            </w:pPr>
            <w:r w:rsidRPr="00D34362">
              <w:rPr>
                <w:lang w:val="ro-RO"/>
              </w:rPr>
              <w:t>Nu au fost identificate</w:t>
            </w:r>
            <w:r w:rsidR="003339BD" w:rsidRPr="00D34362">
              <w:rPr>
                <w:lang w:val="ro-RO"/>
              </w:rPr>
              <w:t>.</w:t>
            </w:r>
          </w:p>
        </w:tc>
      </w:tr>
      <w:tr w:rsidR="00D34362" w:rsidRPr="00D34362">
        <w:trPr>
          <w:gridAfter w:val="2"/>
          <w:wAfter w:w="46" w:type="dxa"/>
          <w:trHeight w:val="131"/>
        </w:trPr>
        <w:tc>
          <w:tcPr>
            <w:tcW w:w="10455" w:type="dxa"/>
            <w:gridSpan w:val="9"/>
            <w:shd w:val="clear" w:color="auto" w:fill="auto"/>
          </w:tcPr>
          <w:p w:rsidR="00713D75" w:rsidRPr="00D34362" w:rsidRDefault="00F33637" w:rsidP="00DD64ED">
            <w:pPr>
              <w:jc w:val="both"/>
              <w:rPr>
                <w:b/>
                <w:lang w:val="ro-RO"/>
              </w:rPr>
            </w:pPr>
            <w:r w:rsidRPr="00D34362">
              <w:rPr>
                <w:b/>
                <w:lang w:val="ro-RO"/>
              </w:rPr>
              <w:t>Secţiunea a 3-a: Impactul socio-economic al prezentului act normativ</w:t>
            </w:r>
          </w:p>
        </w:tc>
      </w:tr>
      <w:tr w:rsidR="00D34362" w:rsidRPr="00D34362">
        <w:trPr>
          <w:gridAfter w:val="2"/>
          <w:wAfter w:w="46" w:type="dxa"/>
          <w:trHeight w:val="269"/>
        </w:trPr>
        <w:tc>
          <w:tcPr>
            <w:tcW w:w="2748" w:type="dxa"/>
            <w:shd w:val="clear" w:color="auto" w:fill="auto"/>
          </w:tcPr>
          <w:p w:rsidR="00F33637" w:rsidRPr="00D34362" w:rsidRDefault="00F33637" w:rsidP="007A719A">
            <w:pPr>
              <w:rPr>
                <w:lang w:val="ro-RO"/>
              </w:rPr>
            </w:pPr>
            <w:r w:rsidRPr="00D34362">
              <w:rPr>
                <w:lang w:val="ro-RO"/>
              </w:rPr>
              <w:t>1. Impactul macroeconomic</w:t>
            </w:r>
          </w:p>
        </w:tc>
        <w:tc>
          <w:tcPr>
            <w:tcW w:w="7707" w:type="dxa"/>
            <w:gridSpan w:val="8"/>
            <w:shd w:val="clear" w:color="auto" w:fill="auto"/>
          </w:tcPr>
          <w:p w:rsidR="00F33637" w:rsidRPr="00D34362" w:rsidRDefault="004F5E21" w:rsidP="004F5E21">
            <w:pPr>
              <w:jc w:val="both"/>
              <w:rPr>
                <w:lang w:val="ro-RO"/>
              </w:rPr>
            </w:pPr>
            <w:r w:rsidRPr="00D34362">
              <w:rPr>
                <w:lang w:val="ro-RO"/>
              </w:rPr>
              <w:t>Prezentul act</w:t>
            </w:r>
            <w:r w:rsidR="00F33637" w:rsidRPr="00D34362">
              <w:rPr>
                <w:lang w:val="ro-RO"/>
              </w:rPr>
              <w:t xml:space="preserve"> normativ nu se referă la acest subiect</w:t>
            </w:r>
            <w:r w:rsidR="003339BD" w:rsidRPr="00D34362">
              <w:rPr>
                <w:lang w:val="ro-RO"/>
              </w:rPr>
              <w:t>.</w:t>
            </w:r>
          </w:p>
        </w:tc>
      </w:tr>
      <w:tr w:rsidR="00D34362" w:rsidRPr="00D34362">
        <w:trPr>
          <w:gridAfter w:val="2"/>
          <w:wAfter w:w="46" w:type="dxa"/>
          <w:trHeight w:val="669"/>
        </w:trPr>
        <w:tc>
          <w:tcPr>
            <w:tcW w:w="2748" w:type="dxa"/>
            <w:shd w:val="clear" w:color="auto" w:fill="auto"/>
          </w:tcPr>
          <w:p w:rsidR="00F33637" w:rsidRPr="00D34362" w:rsidRDefault="00F33637" w:rsidP="001E6D2A">
            <w:pPr>
              <w:rPr>
                <w:lang w:val="ro-RO"/>
              </w:rPr>
            </w:pPr>
            <w:r w:rsidRPr="00D34362">
              <w:rPr>
                <w:lang w:val="ro-RO"/>
              </w:rPr>
              <w:t>1.</w:t>
            </w:r>
            <w:r w:rsidR="001E6D2A" w:rsidRPr="00D34362">
              <w:rPr>
                <w:vertAlign w:val="superscript"/>
                <w:lang w:val="ro-RO"/>
              </w:rPr>
              <w:t>1</w:t>
            </w:r>
            <w:r w:rsidRPr="00D34362">
              <w:rPr>
                <w:lang w:val="ro-RO"/>
              </w:rPr>
              <w:t xml:space="preserve"> Impactul asupra mediului concurenţial si domeniul ajutoarelor de stat.</w:t>
            </w:r>
          </w:p>
        </w:tc>
        <w:tc>
          <w:tcPr>
            <w:tcW w:w="7707" w:type="dxa"/>
            <w:gridSpan w:val="8"/>
            <w:shd w:val="clear" w:color="auto" w:fill="auto"/>
          </w:tcPr>
          <w:p w:rsidR="00F33637" w:rsidRPr="00D34362" w:rsidRDefault="004F5E21" w:rsidP="007253CE">
            <w:pPr>
              <w:jc w:val="both"/>
              <w:rPr>
                <w:lang w:val="ro-RO"/>
              </w:rPr>
            </w:pPr>
            <w:r w:rsidRPr="00D34362">
              <w:rPr>
                <w:lang w:val="ro-RO"/>
              </w:rPr>
              <w:t>Prezentul act normativ nu se referă la acest subiect</w:t>
            </w:r>
            <w:r w:rsidR="003339BD" w:rsidRPr="00D34362">
              <w:rPr>
                <w:lang w:val="ro-RO"/>
              </w:rPr>
              <w:t>.</w:t>
            </w:r>
          </w:p>
        </w:tc>
      </w:tr>
      <w:tr w:rsidR="00D34362" w:rsidRPr="00D34362">
        <w:trPr>
          <w:gridAfter w:val="2"/>
          <w:wAfter w:w="46" w:type="dxa"/>
          <w:trHeight w:val="400"/>
        </w:trPr>
        <w:tc>
          <w:tcPr>
            <w:tcW w:w="2748" w:type="dxa"/>
            <w:shd w:val="clear" w:color="auto" w:fill="auto"/>
          </w:tcPr>
          <w:p w:rsidR="00F33637" w:rsidRPr="00D34362" w:rsidRDefault="00F33637" w:rsidP="00353E04">
            <w:pPr>
              <w:jc w:val="both"/>
              <w:rPr>
                <w:lang w:val="ro-RO"/>
              </w:rPr>
            </w:pPr>
            <w:r w:rsidRPr="00D34362">
              <w:rPr>
                <w:lang w:val="ro-RO"/>
              </w:rPr>
              <w:t>2.Impactul asupra mediului de afaceri</w:t>
            </w:r>
          </w:p>
        </w:tc>
        <w:tc>
          <w:tcPr>
            <w:tcW w:w="7707" w:type="dxa"/>
            <w:gridSpan w:val="8"/>
            <w:shd w:val="clear" w:color="auto" w:fill="auto"/>
          </w:tcPr>
          <w:p w:rsidR="00F33637" w:rsidRPr="00D34362" w:rsidRDefault="004F5E21" w:rsidP="007253CE">
            <w:pPr>
              <w:jc w:val="both"/>
              <w:rPr>
                <w:lang w:val="ro-RO"/>
              </w:rPr>
            </w:pPr>
            <w:r w:rsidRPr="00D34362">
              <w:rPr>
                <w:lang w:val="ro-RO"/>
              </w:rPr>
              <w:t>Prezentul act normativ nu se referă la acest subiect</w:t>
            </w:r>
            <w:r w:rsidR="003339BD" w:rsidRPr="00D34362">
              <w:rPr>
                <w:lang w:val="ro-RO"/>
              </w:rPr>
              <w:t>.</w:t>
            </w:r>
          </w:p>
        </w:tc>
      </w:tr>
      <w:tr w:rsidR="00D34362" w:rsidRPr="00D34362">
        <w:trPr>
          <w:gridAfter w:val="2"/>
          <w:wAfter w:w="46" w:type="dxa"/>
          <w:trHeight w:val="400"/>
        </w:trPr>
        <w:tc>
          <w:tcPr>
            <w:tcW w:w="2748" w:type="dxa"/>
            <w:shd w:val="clear" w:color="auto" w:fill="auto"/>
          </w:tcPr>
          <w:p w:rsidR="00D91D55" w:rsidRPr="00D34362" w:rsidRDefault="00D91D55" w:rsidP="00353E04">
            <w:pPr>
              <w:jc w:val="both"/>
              <w:rPr>
                <w:lang w:val="ro-RO"/>
              </w:rPr>
            </w:pPr>
            <w:r w:rsidRPr="00D34362">
              <w:rPr>
                <w:lang w:val="ro-RO"/>
              </w:rPr>
              <w:t>2</w:t>
            </w:r>
            <w:r w:rsidRPr="00D34362">
              <w:rPr>
                <w:vertAlign w:val="superscript"/>
                <w:lang w:val="ro-RO"/>
              </w:rPr>
              <w:t>1</w:t>
            </w:r>
            <w:r w:rsidRPr="00D34362">
              <w:rPr>
                <w:lang w:val="ro-RO"/>
              </w:rPr>
              <w:t>. Impactul asupra sarcinilor administrative</w:t>
            </w:r>
          </w:p>
        </w:tc>
        <w:tc>
          <w:tcPr>
            <w:tcW w:w="7707" w:type="dxa"/>
            <w:gridSpan w:val="8"/>
            <w:shd w:val="clear" w:color="auto" w:fill="auto"/>
          </w:tcPr>
          <w:p w:rsidR="00D91D55" w:rsidRPr="00D34362" w:rsidRDefault="004F5E21" w:rsidP="007253CE">
            <w:pPr>
              <w:jc w:val="both"/>
              <w:rPr>
                <w:lang w:val="ro-RO"/>
              </w:rPr>
            </w:pPr>
            <w:r w:rsidRPr="00D34362">
              <w:rPr>
                <w:lang w:val="ro-RO"/>
              </w:rPr>
              <w:t>Prezentul act normativ nu se referă la acest subiect</w:t>
            </w:r>
            <w:r w:rsidR="003339BD" w:rsidRPr="00D34362">
              <w:rPr>
                <w:lang w:val="ro-RO"/>
              </w:rPr>
              <w:t>.</w:t>
            </w:r>
          </w:p>
        </w:tc>
      </w:tr>
      <w:tr w:rsidR="00D34362" w:rsidRPr="00D34362">
        <w:trPr>
          <w:gridAfter w:val="2"/>
          <w:wAfter w:w="46" w:type="dxa"/>
          <w:trHeight w:val="400"/>
        </w:trPr>
        <w:tc>
          <w:tcPr>
            <w:tcW w:w="2748" w:type="dxa"/>
            <w:shd w:val="clear" w:color="auto" w:fill="auto"/>
          </w:tcPr>
          <w:p w:rsidR="00D91D55" w:rsidRPr="00D34362" w:rsidRDefault="00D91D55" w:rsidP="00353E04">
            <w:pPr>
              <w:jc w:val="both"/>
              <w:rPr>
                <w:lang w:val="ro-RO"/>
              </w:rPr>
            </w:pPr>
            <w:r w:rsidRPr="00D34362">
              <w:rPr>
                <w:lang w:val="ro-RO"/>
              </w:rPr>
              <w:t>2</w:t>
            </w:r>
            <w:r w:rsidRPr="00D34362">
              <w:rPr>
                <w:vertAlign w:val="superscript"/>
                <w:lang w:val="ro-RO"/>
              </w:rPr>
              <w:t>2</w:t>
            </w:r>
            <w:r w:rsidRPr="00D34362">
              <w:rPr>
                <w:lang w:val="ro-RO"/>
              </w:rPr>
              <w:t>. Impactul asupra întreprinderilor mici și mijlocii</w:t>
            </w:r>
          </w:p>
        </w:tc>
        <w:tc>
          <w:tcPr>
            <w:tcW w:w="7707" w:type="dxa"/>
            <w:gridSpan w:val="8"/>
            <w:shd w:val="clear" w:color="auto" w:fill="auto"/>
          </w:tcPr>
          <w:p w:rsidR="00D91D55" w:rsidRPr="00D34362" w:rsidRDefault="004F5E21" w:rsidP="007253CE">
            <w:pPr>
              <w:jc w:val="both"/>
              <w:rPr>
                <w:lang w:val="ro-RO"/>
              </w:rPr>
            </w:pPr>
            <w:r w:rsidRPr="00D34362">
              <w:rPr>
                <w:lang w:val="ro-RO"/>
              </w:rPr>
              <w:t>Prezentul act normativ nu se referă la acest subiect</w:t>
            </w:r>
            <w:r w:rsidR="003339BD" w:rsidRPr="00D34362">
              <w:rPr>
                <w:lang w:val="ro-RO"/>
              </w:rPr>
              <w:t>.</w:t>
            </w:r>
          </w:p>
        </w:tc>
      </w:tr>
      <w:tr w:rsidR="00D34362" w:rsidRPr="00D34362">
        <w:trPr>
          <w:gridAfter w:val="2"/>
          <w:wAfter w:w="46" w:type="dxa"/>
          <w:trHeight w:val="131"/>
        </w:trPr>
        <w:tc>
          <w:tcPr>
            <w:tcW w:w="2748" w:type="dxa"/>
            <w:shd w:val="clear" w:color="auto" w:fill="auto"/>
          </w:tcPr>
          <w:p w:rsidR="00F33637" w:rsidRPr="00D34362" w:rsidRDefault="00F33637" w:rsidP="007253CE">
            <w:pPr>
              <w:jc w:val="both"/>
              <w:rPr>
                <w:lang w:val="ro-RO"/>
              </w:rPr>
            </w:pPr>
            <w:r w:rsidRPr="00D34362">
              <w:rPr>
                <w:lang w:val="ro-RO"/>
              </w:rPr>
              <w:t>3. Impactul social</w:t>
            </w:r>
          </w:p>
        </w:tc>
        <w:tc>
          <w:tcPr>
            <w:tcW w:w="7707" w:type="dxa"/>
            <w:gridSpan w:val="8"/>
            <w:shd w:val="clear" w:color="auto" w:fill="auto"/>
          </w:tcPr>
          <w:p w:rsidR="00F33637" w:rsidRPr="00D34362" w:rsidRDefault="004F5E21" w:rsidP="00D52BA1">
            <w:pPr>
              <w:jc w:val="both"/>
              <w:rPr>
                <w:lang w:val="ro-RO"/>
              </w:rPr>
            </w:pPr>
            <w:r w:rsidRPr="00D34362">
              <w:rPr>
                <w:lang w:val="ro-RO"/>
              </w:rPr>
              <w:t>Prezentul act normativ nu se referă la acest subiect</w:t>
            </w:r>
            <w:r w:rsidR="003339BD" w:rsidRPr="00D34362">
              <w:rPr>
                <w:lang w:val="ro-RO"/>
              </w:rPr>
              <w:t>.</w:t>
            </w:r>
          </w:p>
        </w:tc>
      </w:tr>
      <w:tr w:rsidR="00D34362" w:rsidRPr="00D34362">
        <w:trPr>
          <w:gridAfter w:val="2"/>
          <w:wAfter w:w="46" w:type="dxa"/>
          <w:trHeight w:val="269"/>
        </w:trPr>
        <w:tc>
          <w:tcPr>
            <w:tcW w:w="2748" w:type="dxa"/>
            <w:shd w:val="clear" w:color="auto" w:fill="auto"/>
          </w:tcPr>
          <w:p w:rsidR="00F33637" w:rsidRPr="00D34362" w:rsidRDefault="00F33637" w:rsidP="007311A8">
            <w:pPr>
              <w:jc w:val="both"/>
              <w:rPr>
                <w:lang w:val="ro-RO"/>
              </w:rPr>
            </w:pPr>
            <w:r w:rsidRPr="00D34362">
              <w:rPr>
                <w:lang w:val="ro-RO"/>
              </w:rPr>
              <w:t>4.Impactul asupra mediului</w:t>
            </w:r>
          </w:p>
        </w:tc>
        <w:tc>
          <w:tcPr>
            <w:tcW w:w="7707" w:type="dxa"/>
            <w:gridSpan w:val="8"/>
            <w:shd w:val="clear" w:color="auto" w:fill="auto"/>
          </w:tcPr>
          <w:p w:rsidR="00F33637" w:rsidRPr="00D34362" w:rsidRDefault="004F5E21" w:rsidP="007253CE">
            <w:pPr>
              <w:jc w:val="both"/>
              <w:rPr>
                <w:lang w:val="ro-RO"/>
              </w:rPr>
            </w:pPr>
            <w:r w:rsidRPr="00D34362">
              <w:rPr>
                <w:lang w:val="ro-RO"/>
              </w:rPr>
              <w:t>Prezentul act normativ nu se referă la acest subiect</w:t>
            </w:r>
            <w:r w:rsidR="003339BD" w:rsidRPr="00D34362">
              <w:rPr>
                <w:lang w:val="ro-RO"/>
              </w:rPr>
              <w:t>.</w:t>
            </w:r>
          </w:p>
        </w:tc>
      </w:tr>
      <w:tr w:rsidR="00D34362" w:rsidRPr="00D34362">
        <w:trPr>
          <w:gridAfter w:val="2"/>
          <w:wAfter w:w="46" w:type="dxa"/>
          <w:trHeight w:val="131"/>
        </w:trPr>
        <w:tc>
          <w:tcPr>
            <w:tcW w:w="2748" w:type="dxa"/>
            <w:shd w:val="clear" w:color="auto" w:fill="auto"/>
          </w:tcPr>
          <w:p w:rsidR="00F33637" w:rsidRPr="00D34362" w:rsidRDefault="00F33637" w:rsidP="007253CE">
            <w:pPr>
              <w:jc w:val="both"/>
              <w:rPr>
                <w:lang w:val="ro-RO"/>
              </w:rPr>
            </w:pPr>
            <w:r w:rsidRPr="00D34362">
              <w:rPr>
                <w:lang w:val="ro-RO"/>
              </w:rPr>
              <w:t>5. Alte informaţii</w:t>
            </w:r>
          </w:p>
        </w:tc>
        <w:tc>
          <w:tcPr>
            <w:tcW w:w="7707" w:type="dxa"/>
            <w:gridSpan w:val="8"/>
            <w:shd w:val="clear" w:color="auto" w:fill="auto"/>
          </w:tcPr>
          <w:p w:rsidR="002727F0" w:rsidRPr="00D34362" w:rsidRDefault="00F33637" w:rsidP="00697673">
            <w:pPr>
              <w:jc w:val="both"/>
              <w:rPr>
                <w:lang w:val="ro-RO"/>
              </w:rPr>
            </w:pPr>
            <w:r w:rsidRPr="00D34362">
              <w:rPr>
                <w:lang w:val="ro-RO"/>
              </w:rPr>
              <w:t>Nu au fost identificate</w:t>
            </w:r>
            <w:r w:rsidR="003339BD" w:rsidRPr="00D34362">
              <w:rPr>
                <w:lang w:val="ro-RO"/>
              </w:rPr>
              <w:t>.</w:t>
            </w:r>
          </w:p>
        </w:tc>
      </w:tr>
      <w:tr w:rsidR="00D34362" w:rsidRPr="00D34362" w:rsidTr="00697673">
        <w:trPr>
          <w:gridAfter w:val="2"/>
          <w:wAfter w:w="46" w:type="dxa"/>
          <w:trHeight w:val="593"/>
        </w:trPr>
        <w:tc>
          <w:tcPr>
            <w:tcW w:w="10455" w:type="dxa"/>
            <w:gridSpan w:val="9"/>
            <w:shd w:val="clear" w:color="auto" w:fill="auto"/>
          </w:tcPr>
          <w:p w:rsidR="00F33637" w:rsidRPr="00D34362" w:rsidRDefault="00F33637" w:rsidP="00354F7A">
            <w:pPr>
              <w:jc w:val="both"/>
              <w:rPr>
                <w:b/>
                <w:lang w:val="ro-RO"/>
              </w:rPr>
            </w:pPr>
            <w:r w:rsidRPr="00D34362">
              <w:rPr>
                <w:b/>
                <w:lang w:val="ro-RO"/>
              </w:rPr>
              <w:t xml:space="preserve">Secţiunea a 4-a: Impactul financiar asupra bugetului general consolidat, atât pe termen scurt, pentru anul curent, cât şi pe termen lung (pe 5 ani)                                                       </w:t>
            </w:r>
          </w:p>
        </w:tc>
      </w:tr>
      <w:tr w:rsidR="00D34362" w:rsidRPr="00D34362">
        <w:trPr>
          <w:gridAfter w:val="2"/>
          <w:wAfter w:w="46" w:type="dxa"/>
          <w:trHeight w:val="131"/>
        </w:trPr>
        <w:tc>
          <w:tcPr>
            <w:tcW w:w="10455" w:type="dxa"/>
            <w:gridSpan w:val="9"/>
            <w:shd w:val="clear" w:color="auto" w:fill="auto"/>
          </w:tcPr>
          <w:p w:rsidR="00F33637" w:rsidRPr="00D34362" w:rsidRDefault="00F33637" w:rsidP="007253CE">
            <w:pPr>
              <w:jc w:val="center"/>
              <w:rPr>
                <w:lang w:val="ro-RO"/>
              </w:rPr>
            </w:pPr>
            <w:r w:rsidRPr="00D34362">
              <w:rPr>
                <w:lang w:val="ro-RO"/>
              </w:rPr>
              <w:t>- mii lei -</w:t>
            </w:r>
          </w:p>
        </w:tc>
      </w:tr>
      <w:tr w:rsidR="00D34362" w:rsidRPr="00D34362">
        <w:trPr>
          <w:gridAfter w:val="2"/>
          <w:wAfter w:w="46" w:type="dxa"/>
          <w:trHeight w:val="269"/>
        </w:trPr>
        <w:tc>
          <w:tcPr>
            <w:tcW w:w="2931" w:type="dxa"/>
            <w:gridSpan w:val="2"/>
            <w:shd w:val="clear" w:color="auto" w:fill="auto"/>
          </w:tcPr>
          <w:p w:rsidR="00F33637" w:rsidRPr="00D34362" w:rsidRDefault="00F33637" w:rsidP="007253CE">
            <w:pPr>
              <w:jc w:val="center"/>
              <w:rPr>
                <w:lang w:val="ro-RO"/>
              </w:rPr>
            </w:pPr>
            <w:r w:rsidRPr="00D34362">
              <w:rPr>
                <w:lang w:val="ro-RO"/>
              </w:rPr>
              <w:t>Indicatori</w:t>
            </w:r>
          </w:p>
        </w:tc>
        <w:tc>
          <w:tcPr>
            <w:tcW w:w="1405" w:type="dxa"/>
            <w:shd w:val="clear" w:color="auto" w:fill="auto"/>
          </w:tcPr>
          <w:p w:rsidR="00F33637" w:rsidRPr="00D34362" w:rsidRDefault="00F33637" w:rsidP="007253CE">
            <w:pPr>
              <w:jc w:val="center"/>
              <w:rPr>
                <w:lang w:val="ro-RO"/>
              </w:rPr>
            </w:pPr>
            <w:r w:rsidRPr="00D34362">
              <w:rPr>
                <w:lang w:val="ro-RO"/>
              </w:rPr>
              <w:t>Anul curent</w:t>
            </w:r>
          </w:p>
        </w:tc>
        <w:tc>
          <w:tcPr>
            <w:tcW w:w="4039" w:type="dxa"/>
            <w:gridSpan w:val="5"/>
            <w:tcBorders>
              <w:bottom w:val="single" w:sz="4" w:space="0" w:color="auto"/>
            </w:tcBorders>
            <w:shd w:val="clear" w:color="auto" w:fill="auto"/>
          </w:tcPr>
          <w:p w:rsidR="00F33637" w:rsidRPr="00D34362" w:rsidRDefault="00F33637" w:rsidP="007253CE">
            <w:pPr>
              <w:jc w:val="center"/>
              <w:rPr>
                <w:lang w:val="ro-RO"/>
              </w:rPr>
            </w:pPr>
            <w:r w:rsidRPr="00D34362">
              <w:rPr>
                <w:lang w:val="ro-RO"/>
              </w:rPr>
              <w:t>Următorii 4 ani</w:t>
            </w:r>
          </w:p>
        </w:tc>
        <w:tc>
          <w:tcPr>
            <w:tcW w:w="2080" w:type="dxa"/>
            <w:shd w:val="clear" w:color="auto" w:fill="auto"/>
          </w:tcPr>
          <w:p w:rsidR="00F33637" w:rsidRPr="00D34362" w:rsidRDefault="00F33637" w:rsidP="007253CE">
            <w:pPr>
              <w:jc w:val="center"/>
              <w:rPr>
                <w:lang w:val="ro-RO"/>
              </w:rPr>
            </w:pPr>
            <w:r w:rsidRPr="00D34362">
              <w:rPr>
                <w:lang w:val="ro-RO"/>
              </w:rPr>
              <w:t>Media pe 5 ani</w:t>
            </w:r>
          </w:p>
        </w:tc>
      </w:tr>
      <w:tr w:rsidR="00D34362" w:rsidRPr="00D34362">
        <w:trPr>
          <w:trHeight w:val="131"/>
        </w:trPr>
        <w:tc>
          <w:tcPr>
            <w:tcW w:w="2931" w:type="dxa"/>
            <w:gridSpan w:val="2"/>
            <w:shd w:val="clear" w:color="auto" w:fill="auto"/>
          </w:tcPr>
          <w:p w:rsidR="00F33637" w:rsidRPr="00D34362" w:rsidRDefault="00F33637" w:rsidP="007253CE">
            <w:pPr>
              <w:jc w:val="both"/>
              <w:rPr>
                <w:lang w:val="ro-RO"/>
              </w:rPr>
            </w:pPr>
            <w:r w:rsidRPr="00D34362">
              <w:rPr>
                <w:lang w:val="ro-RO"/>
              </w:rPr>
              <w:t>1</w:t>
            </w:r>
          </w:p>
        </w:tc>
        <w:tc>
          <w:tcPr>
            <w:tcW w:w="1405" w:type="dxa"/>
            <w:shd w:val="clear" w:color="auto" w:fill="auto"/>
          </w:tcPr>
          <w:p w:rsidR="00F33637" w:rsidRPr="00D34362" w:rsidRDefault="00F33637" w:rsidP="007253CE">
            <w:pPr>
              <w:jc w:val="both"/>
              <w:rPr>
                <w:lang w:val="ro-RO"/>
              </w:rPr>
            </w:pPr>
            <w:r w:rsidRPr="00D34362">
              <w:rPr>
                <w:lang w:val="ro-RO"/>
              </w:rPr>
              <w:t>2</w:t>
            </w:r>
          </w:p>
        </w:tc>
        <w:tc>
          <w:tcPr>
            <w:tcW w:w="884" w:type="dxa"/>
            <w:gridSpan w:val="2"/>
            <w:tcBorders>
              <w:right w:val="nil"/>
            </w:tcBorders>
            <w:shd w:val="clear" w:color="auto" w:fill="auto"/>
          </w:tcPr>
          <w:p w:rsidR="00F33637" w:rsidRPr="00D34362" w:rsidRDefault="00F33637" w:rsidP="00534BA4">
            <w:pPr>
              <w:rPr>
                <w:lang w:val="ro-RO"/>
              </w:rPr>
            </w:pPr>
            <w:r w:rsidRPr="00D34362">
              <w:rPr>
                <w:lang w:val="ro-RO"/>
              </w:rPr>
              <w:t>3</w:t>
            </w:r>
          </w:p>
        </w:tc>
        <w:tc>
          <w:tcPr>
            <w:tcW w:w="1080" w:type="dxa"/>
            <w:tcBorders>
              <w:left w:val="nil"/>
              <w:right w:val="nil"/>
            </w:tcBorders>
            <w:shd w:val="clear" w:color="auto" w:fill="auto"/>
          </w:tcPr>
          <w:p w:rsidR="00F33637" w:rsidRPr="00D34362" w:rsidRDefault="00F33637" w:rsidP="007253CE">
            <w:pPr>
              <w:jc w:val="both"/>
              <w:rPr>
                <w:lang w:val="ro-RO"/>
              </w:rPr>
            </w:pPr>
            <w:r w:rsidRPr="00D34362">
              <w:rPr>
                <w:lang w:val="ro-RO"/>
              </w:rPr>
              <w:t>4</w:t>
            </w:r>
          </w:p>
        </w:tc>
        <w:tc>
          <w:tcPr>
            <w:tcW w:w="900" w:type="dxa"/>
            <w:tcBorders>
              <w:left w:val="nil"/>
              <w:right w:val="nil"/>
            </w:tcBorders>
            <w:shd w:val="clear" w:color="auto" w:fill="auto"/>
          </w:tcPr>
          <w:p w:rsidR="00F33637" w:rsidRPr="00D34362" w:rsidRDefault="00F33637" w:rsidP="007253CE">
            <w:pPr>
              <w:jc w:val="both"/>
              <w:rPr>
                <w:lang w:val="ro-RO"/>
              </w:rPr>
            </w:pPr>
            <w:r w:rsidRPr="00D34362">
              <w:rPr>
                <w:lang w:val="ro-RO"/>
              </w:rPr>
              <w:t>5</w:t>
            </w:r>
          </w:p>
        </w:tc>
        <w:tc>
          <w:tcPr>
            <w:tcW w:w="1175" w:type="dxa"/>
            <w:tcBorders>
              <w:left w:val="nil"/>
            </w:tcBorders>
            <w:shd w:val="clear" w:color="auto" w:fill="auto"/>
          </w:tcPr>
          <w:p w:rsidR="00F33637" w:rsidRPr="00D34362" w:rsidRDefault="00F33637" w:rsidP="007253CE">
            <w:pPr>
              <w:jc w:val="both"/>
              <w:rPr>
                <w:lang w:val="ro-RO"/>
              </w:rPr>
            </w:pPr>
            <w:r w:rsidRPr="00D34362">
              <w:rPr>
                <w:lang w:val="ro-RO"/>
              </w:rPr>
              <w:t>6</w:t>
            </w:r>
          </w:p>
        </w:tc>
        <w:tc>
          <w:tcPr>
            <w:tcW w:w="2126" w:type="dxa"/>
            <w:gridSpan w:val="3"/>
            <w:shd w:val="clear" w:color="auto" w:fill="auto"/>
          </w:tcPr>
          <w:p w:rsidR="00F33637" w:rsidRPr="00D34362" w:rsidRDefault="00F33637" w:rsidP="007253CE">
            <w:pPr>
              <w:jc w:val="both"/>
              <w:rPr>
                <w:lang w:val="ro-RO"/>
              </w:rPr>
            </w:pPr>
            <w:r w:rsidRPr="00D34362">
              <w:rPr>
                <w:lang w:val="ro-RO"/>
              </w:rPr>
              <w:t>7</w:t>
            </w:r>
          </w:p>
        </w:tc>
      </w:tr>
      <w:tr w:rsidR="00D34362" w:rsidRPr="00D34362" w:rsidTr="00267F18">
        <w:trPr>
          <w:gridAfter w:val="2"/>
          <w:wAfter w:w="46" w:type="dxa"/>
          <w:trHeight w:val="701"/>
        </w:trPr>
        <w:tc>
          <w:tcPr>
            <w:tcW w:w="2931" w:type="dxa"/>
            <w:gridSpan w:val="2"/>
            <w:shd w:val="clear" w:color="auto" w:fill="auto"/>
          </w:tcPr>
          <w:p w:rsidR="00F33637" w:rsidRPr="00D34362" w:rsidRDefault="00F33637" w:rsidP="00262185">
            <w:pPr>
              <w:rPr>
                <w:lang w:val="ro-RO"/>
              </w:rPr>
            </w:pPr>
            <w:r w:rsidRPr="00D34362">
              <w:rPr>
                <w:lang w:val="ro-RO"/>
              </w:rPr>
              <w:t xml:space="preserve">1. Modificări ale veniturilor bugetare, </w:t>
            </w:r>
          </w:p>
          <w:p w:rsidR="00F33637" w:rsidRPr="00D34362" w:rsidRDefault="00F33637" w:rsidP="00262185">
            <w:pPr>
              <w:rPr>
                <w:lang w:val="ro-RO"/>
              </w:rPr>
            </w:pPr>
            <w:r w:rsidRPr="00D34362">
              <w:rPr>
                <w:lang w:val="ro-RO"/>
              </w:rPr>
              <w:t xml:space="preserve">plus/minus, din care: </w:t>
            </w:r>
          </w:p>
          <w:p w:rsidR="00F33637" w:rsidRPr="00D34362" w:rsidRDefault="00F33637" w:rsidP="00262185">
            <w:pPr>
              <w:rPr>
                <w:lang w:val="ro-RO"/>
              </w:rPr>
            </w:pPr>
            <w:r w:rsidRPr="00D34362">
              <w:rPr>
                <w:lang w:val="ro-RO"/>
              </w:rPr>
              <w:t xml:space="preserve">a) buget de stat, din acesta: </w:t>
            </w:r>
          </w:p>
          <w:p w:rsidR="00F33637" w:rsidRPr="00D34362" w:rsidRDefault="00F33637" w:rsidP="00262185">
            <w:pPr>
              <w:rPr>
                <w:lang w:val="ro-RO"/>
              </w:rPr>
            </w:pPr>
            <w:r w:rsidRPr="00D34362">
              <w:rPr>
                <w:lang w:val="ro-RO"/>
              </w:rPr>
              <w:t xml:space="preserve">(i) impozit pe profit </w:t>
            </w:r>
          </w:p>
          <w:p w:rsidR="00F33637" w:rsidRPr="00D34362" w:rsidRDefault="00F33637" w:rsidP="00262185">
            <w:pPr>
              <w:rPr>
                <w:lang w:val="ro-RO"/>
              </w:rPr>
            </w:pPr>
            <w:r w:rsidRPr="00D34362">
              <w:rPr>
                <w:lang w:val="ro-RO"/>
              </w:rPr>
              <w:t xml:space="preserve">(ii) impozit pe venit </w:t>
            </w:r>
          </w:p>
          <w:p w:rsidR="00F33637" w:rsidRPr="00D34362" w:rsidRDefault="00F33637" w:rsidP="00262185">
            <w:pPr>
              <w:rPr>
                <w:lang w:val="ro-RO"/>
              </w:rPr>
            </w:pPr>
            <w:r w:rsidRPr="00D34362">
              <w:rPr>
                <w:lang w:val="ro-RO"/>
              </w:rPr>
              <w:t xml:space="preserve">b) bugete locale: </w:t>
            </w:r>
          </w:p>
          <w:p w:rsidR="00F33637" w:rsidRPr="00D34362" w:rsidRDefault="00F33637" w:rsidP="00262185">
            <w:pPr>
              <w:rPr>
                <w:lang w:val="ro-RO"/>
              </w:rPr>
            </w:pPr>
            <w:r w:rsidRPr="00D34362">
              <w:rPr>
                <w:lang w:val="ro-RO"/>
              </w:rPr>
              <w:t xml:space="preserve">(i) impozit pe profit </w:t>
            </w:r>
          </w:p>
          <w:p w:rsidR="00F33637" w:rsidRPr="00D34362" w:rsidRDefault="00F33637" w:rsidP="00262185">
            <w:pPr>
              <w:rPr>
                <w:lang w:val="ro-RO"/>
              </w:rPr>
            </w:pPr>
            <w:r w:rsidRPr="00D34362">
              <w:rPr>
                <w:lang w:val="ro-RO"/>
              </w:rPr>
              <w:t xml:space="preserve">c) bugetul asigurărilor sociale de stat: </w:t>
            </w:r>
          </w:p>
          <w:p w:rsidR="00F33637" w:rsidRPr="00D34362" w:rsidRDefault="00F33637" w:rsidP="00262185">
            <w:pPr>
              <w:rPr>
                <w:lang w:val="ro-RO"/>
              </w:rPr>
            </w:pPr>
            <w:r w:rsidRPr="00D34362">
              <w:rPr>
                <w:lang w:val="ro-RO"/>
              </w:rPr>
              <w:t xml:space="preserve">(i) contribuţii de asigurări </w:t>
            </w:r>
          </w:p>
        </w:tc>
        <w:tc>
          <w:tcPr>
            <w:tcW w:w="7524" w:type="dxa"/>
            <w:gridSpan w:val="7"/>
            <w:shd w:val="clear" w:color="auto" w:fill="auto"/>
          </w:tcPr>
          <w:p w:rsidR="000901EB" w:rsidRPr="00D34362" w:rsidRDefault="000901EB" w:rsidP="007253CE">
            <w:pPr>
              <w:jc w:val="both"/>
              <w:rPr>
                <w:lang w:val="ro-RO"/>
              </w:rPr>
            </w:pPr>
          </w:p>
          <w:p w:rsidR="00F33637" w:rsidRPr="00D34362" w:rsidRDefault="000901EB" w:rsidP="007253CE">
            <w:pPr>
              <w:jc w:val="both"/>
              <w:rPr>
                <w:lang w:val="ro-RO"/>
              </w:rPr>
            </w:pPr>
            <w:r w:rsidRPr="00D34362">
              <w:rPr>
                <w:lang w:val="ro-RO"/>
              </w:rPr>
              <w:t>Prezentul act normativ nu se referă la acest subiect.</w:t>
            </w:r>
          </w:p>
        </w:tc>
      </w:tr>
      <w:tr w:rsidR="00D34362" w:rsidRPr="00D34362" w:rsidTr="004F39C6">
        <w:trPr>
          <w:gridAfter w:val="2"/>
          <w:wAfter w:w="46" w:type="dxa"/>
          <w:trHeight w:val="416"/>
        </w:trPr>
        <w:tc>
          <w:tcPr>
            <w:tcW w:w="2931" w:type="dxa"/>
            <w:gridSpan w:val="2"/>
            <w:shd w:val="clear" w:color="auto" w:fill="auto"/>
          </w:tcPr>
          <w:p w:rsidR="00F33637" w:rsidRPr="00D34362" w:rsidRDefault="00F33637" w:rsidP="003E6720">
            <w:pPr>
              <w:rPr>
                <w:lang w:val="ro-RO"/>
              </w:rPr>
            </w:pPr>
            <w:r w:rsidRPr="00D34362">
              <w:rPr>
                <w:lang w:val="ro-RO"/>
              </w:rPr>
              <w:t xml:space="preserve">2.Modificări ale cheltuielilor bugetare, </w:t>
            </w:r>
          </w:p>
          <w:p w:rsidR="00F33637" w:rsidRPr="00D34362" w:rsidRDefault="00F33637" w:rsidP="003E6720">
            <w:pPr>
              <w:rPr>
                <w:lang w:val="ro-RO"/>
              </w:rPr>
            </w:pPr>
            <w:r w:rsidRPr="00D34362">
              <w:rPr>
                <w:lang w:val="ro-RO"/>
              </w:rPr>
              <w:t>plus/minus, din care:</w:t>
            </w:r>
          </w:p>
          <w:p w:rsidR="00F33637" w:rsidRPr="00D34362" w:rsidRDefault="00F33637" w:rsidP="00262185">
            <w:pPr>
              <w:rPr>
                <w:lang w:val="ro-RO"/>
              </w:rPr>
            </w:pPr>
            <w:r w:rsidRPr="00D34362">
              <w:rPr>
                <w:lang w:val="ro-RO"/>
              </w:rPr>
              <w:t xml:space="preserve">a) buget de stat, din acesta: </w:t>
            </w:r>
          </w:p>
          <w:p w:rsidR="00F33637" w:rsidRPr="00D34362" w:rsidRDefault="00F33637" w:rsidP="00262185">
            <w:pPr>
              <w:rPr>
                <w:lang w:val="ro-RO"/>
              </w:rPr>
            </w:pPr>
            <w:r w:rsidRPr="00D34362">
              <w:rPr>
                <w:lang w:val="ro-RO"/>
              </w:rPr>
              <w:t xml:space="preserve">(i) cheltuieli de personal </w:t>
            </w:r>
          </w:p>
          <w:p w:rsidR="00F33637" w:rsidRPr="00D34362" w:rsidRDefault="00F33637" w:rsidP="00262185">
            <w:pPr>
              <w:rPr>
                <w:lang w:val="ro-RO"/>
              </w:rPr>
            </w:pPr>
            <w:r w:rsidRPr="00D34362">
              <w:rPr>
                <w:lang w:val="ro-RO"/>
              </w:rPr>
              <w:t xml:space="preserve">(ii) bunuri si servicii </w:t>
            </w:r>
          </w:p>
          <w:p w:rsidR="00F33637" w:rsidRPr="00D34362" w:rsidRDefault="00F33637" w:rsidP="00262185">
            <w:pPr>
              <w:rPr>
                <w:lang w:val="ro-RO"/>
              </w:rPr>
            </w:pPr>
            <w:r w:rsidRPr="00D34362">
              <w:rPr>
                <w:lang w:val="ro-RO"/>
              </w:rPr>
              <w:t xml:space="preserve">b) bugete locale: </w:t>
            </w:r>
          </w:p>
          <w:p w:rsidR="00F33637" w:rsidRPr="00D34362" w:rsidRDefault="00F33637" w:rsidP="00262185">
            <w:pPr>
              <w:rPr>
                <w:lang w:val="ro-RO"/>
              </w:rPr>
            </w:pPr>
            <w:r w:rsidRPr="00D34362">
              <w:rPr>
                <w:lang w:val="ro-RO"/>
              </w:rPr>
              <w:t xml:space="preserve">(i) cheltuieli de personal </w:t>
            </w:r>
          </w:p>
          <w:p w:rsidR="00F33637" w:rsidRPr="00D34362" w:rsidRDefault="00F33637" w:rsidP="00262185">
            <w:pPr>
              <w:rPr>
                <w:lang w:val="ro-RO"/>
              </w:rPr>
            </w:pPr>
            <w:r w:rsidRPr="00D34362">
              <w:rPr>
                <w:lang w:val="ro-RO"/>
              </w:rPr>
              <w:t xml:space="preserve">(ii) bunuri şi servicii </w:t>
            </w:r>
          </w:p>
          <w:p w:rsidR="00F33637" w:rsidRPr="00D34362" w:rsidRDefault="00F33637" w:rsidP="00262185">
            <w:pPr>
              <w:rPr>
                <w:lang w:val="ro-RO"/>
              </w:rPr>
            </w:pPr>
            <w:r w:rsidRPr="00D34362">
              <w:rPr>
                <w:lang w:val="ro-RO"/>
              </w:rPr>
              <w:t xml:space="preserve">c) bugetul asigurărilor sociale de stat: </w:t>
            </w:r>
          </w:p>
          <w:p w:rsidR="00F33637" w:rsidRPr="00D34362" w:rsidRDefault="00F33637" w:rsidP="00262185">
            <w:pPr>
              <w:rPr>
                <w:lang w:val="ro-RO"/>
              </w:rPr>
            </w:pPr>
            <w:r w:rsidRPr="00D34362">
              <w:rPr>
                <w:lang w:val="ro-RO"/>
              </w:rPr>
              <w:t xml:space="preserve">(i) cheltuieli de personal </w:t>
            </w:r>
          </w:p>
          <w:p w:rsidR="00F33637" w:rsidRPr="00D34362" w:rsidRDefault="00F33637" w:rsidP="004F39C6">
            <w:pPr>
              <w:rPr>
                <w:lang w:val="ro-RO"/>
              </w:rPr>
            </w:pPr>
            <w:r w:rsidRPr="00D34362">
              <w:rPr>
                <w:lang w:val="ro-RO"/>
              </w:rPr>
              <w:lastRenderedPageBreak/>
              <w:t>(ii) bunuri si servicii</w:t>
            </w:r>
          </w:p>
        </w:tc>
        <w:tc>
          <w:tcPr>
            <w:tcW w:w="7524" w:type="dxa"/>
            <w:gridSpan w:val="7"/>
            <w:shd w:val="clear" w:color="auto" w:fill="auto"/>
          </w:tcPr>
          <w:p w:rsidR="00F33637" w:rsidRPr="00D34362" w:rsidRDefault="00F33637" w:rsidP="00BA4370">
            <w:pPr>
              <w:tabs>
                <w:tab w:val="left" w:pos="1576"/>
              </w:tabs>
              <w:rPr>
                <w:lang w:val="ro-RO"/>
              </w:rPr>
            </w:pPr>
          </w:p>
          <w:p w:rsidR="00F33637" w:rsidRPr="00D34362" w:rsidRDefault="00F33637" w:rsidP="003E7D13">
            <w:pPr>
              <w:jc w:val="both"/>
              <w:rPr>
                <w:lang w:val="ro-RO"/>
              </w:rPr>
            </w:pPr>
          </w:p>
          <w:p w:rsidR="00F33637" w:rsidRPr="00D34362" w:rsidRDefault="000901EB" w:rsidP="003E7D13">
            <w:pPr>
              <w:jc w:val="both"/>
              <w:rPr>
                <w:lang w:val="ro-RO"/>
              </w:rPr>
            </w:pPr>
            <w:r w:rsidRPr="00D34362">
              <w:rPr>
                <w:lang w:val="ro-RO"/>
              </w:rPr>
              <w:t>Prezentul act normativ nu se referă la acest subiect.</w:t>
            </w:r>
          </w:p>
          <w:p w:rsidR="00F33637" w:rsidRPr="00D34362" w:rsidRDefault="00F33637" w:rsidP="006D0AAB">
            <w:pPr>
              <w:jc w:val="both"/>
              <w:rPr>
                <w:lang w:val="ro-RO"/>
              </w:rPr>
            </w:pPr>
          </w:p>
          <w:p w:rsidR="004D1C2F" w:rsidRPr="00D34362" w:rsidRDefault="004D1C2F" w:rsidP="006D0AAB">
            <w:pPr>
              <w:jc w:val="both"/>
              <w:rPr>
                <w:lang w:val="ro-RO"/>
              </w:rPr>
            </w:pPr>
          </w:p>
        </w:tc>
      </w:tr>
      <w:tr w:rsidR="00D34362" w:rsidRPr="00D34362">
        <w:trPr>
          <w:gridAfter w:val="2"/>
          <w:wAfter w:w="46" w:type="dxa"/>
          <w:trHeight w:val="540"/>
        </w:trPr>
        <w:tc>
          <w:tcPr>
            <w:tcW w:w="2931" w:type="dxa"/>
            <w:gridSpan w:val="2"/>
            <w:shd w:val="clear" w:color="auto" w:fill="auto"/>
          </w:tcPr>
          <w:p w:rsidR="00F33637" w:rsidRPr="00D34362" w:rsidRDefault="00F33637" w:rsidP="00262185">
            <w:pPr>
              <w:rPr>
                <w:lang w:val="ro-RO"/>
              </w:rPr>
            </w:pPr>
            <w:r w:rsidRPr="00D34362">
              <w:rPr>
                <w:lang w:val="ro-RO"/>
              </w:rPr>
              <w:t xml:space="preserve">3.Impact financiar, plus/minus, din care: </w:t>
            </w:r>
          </w:p>
          <w:p w:rsidR="00F33637" w:rsidRPr="00D34362" w:rsidRDefault="00F33637" w:rsidP="00262185">
            <w:pPr>
              <w:rPr>
                <w:lang w:val="ro-RO"/>
              </w:rPr>
            </w:pPr>
            <w:r w:rsidRPr="00D34362">
              <w:rPr>
                <w:lang w:val="ro-RO"/>
              </w:rPr>
              <w:t xml:space="preserve">a) bugetul de stat </w:t>
            </w:r>
          </w:p>
          <w:p w:rsidR="00F33637" w:rsidRPr="00D34362" w:rsidRDefault="00F33637" w:rsidP="00262185">
            <w:pPr>
              <w:rPr>
                <w:lang w:val="ro-RO"/>
              </w:rPr>
            </w:pPr>
            <w:r w:rsidRPr="00D34362">
              <w:rPr>
                <w:lang w:val="ro-RO"/>
              </w:rPr>
              <w:t xml:space="preserve">b) bugete locale </w:t>
            </w:r>
          </w:p>
        </w:tc>
        <w:tc>
          <w:tcPr>
            <w:tcW w:w="7524" w:type="dxa"/>
            <w:gridSpan w:val="7"/>
            <w:shd w:val="clear" w:color="auto" w:fill="auto"/>
          </w:tcPr>
          <w:p w:rsidR="00F33637" w:rsidRPr="00D34362" w:rsidRDefault="000901EB" w:rsidP="003E7D13">
            <w:pPr>
              <w:tabs>
                <w:tab w:val="left" w:pos="1576"/>
              </w:tabs>
              <w:rPr>
                <w:lang w:val="ro-RO"/>
              </w:rPr>
            </w:pPr>
            <w:r w:rsidRPr="00D34362">
              <w:rPr>
                <w:lang w:val="ro-RO"/>
              </w:rPr>
              <w:t>Prezentul act normativ nu se referă la acest subiect.</w:t>
            </w:r>
          </w:p>
        </w:tc>
      </w:tr>
      <w:tr w:rsidR="00D34362" w:rsidRPr="00D34362">
        <w:trPr>
          <w:gridAfter w:val="2"/>
          <w:wAfter w:w="46" w:type="dxa"/>
          <w:trHeight w:val="400"/>
        </w:trPr>
        <w:tc>
          <w:tcPr>
            <w:tcW w:w="2931" w:type="dxa"/>
            <w:gridSpan w:val="2"/>
            <w:shd w:val="clear" w:color="auto" w:fill="auto"/>
          </w:tcPr>
          <w:p w:rsidR="00F33637" w:rsidRPr="00D34362" w:rsidRDefault="00F33637" w:rsidP="00262185">
            <w:pPr>
              <w:rPr>
                <w:lang w:val="ro-RO"/>
              </w:rPr>
            </w:pPr>
            <w:r w:rsidRPr="00D34362">
              <w:rPr>
                <w:lang w:val="ro-RO"/>
              </w:rPr>
              <w:t xml:space="preserve">4.Propuneri pentru acoperirea creşterii </w:t>
            </w:r>
          </w:p>
          <w:p w:rsidR="00F33637" w:rsidRPr="00D34362" w:rsidRDefault="00F33637" w:rsidP="00262185">
            <w:pPr>
              <w:rPr>
                <w:lang w:val="ro-RO"/>
              </w:rPr>
            </w:pPr>
            <w:r w:rsidRPr="00D34362">
              <w:rPr>
                <w:lang w:val="ro-RO"/>
              </w:rPr>
              <w:t xml:space="preserve">cheltuielilor bugetare </w:t>
            </w:r>
          </w:p>
        </w:tc>
        <w:tc>
          <w:tcPr>
            <w:tcW w:w="7524" w:type="dxa"/>
            <w:gridSpan w:val="7"/>
            <w:shd w:val="clear" w:color="auto" w:fill="auto"/>
          </w:tcPr>
          <w:p w:rsidR="00F33637" w:rsidRPr="00D34362" w:rsidRDefault="000901EB" w:rsidP="004A3130">
            <w:pPr>
              <w:jc w:val="both"/>
              <w:rPr>
                <w:lang w:val="ro-RO"/>
              </w:rPr>
            </w:pPr>
            <w:r w:rsidRPr="00D34362">
              <w:rPr>
                <w:lang w:val="ro-RO"/>
              </w:rPr>
              <w:t>Prezentul act normativ nu se referă la acest subiect.</w:t>
            </w:r>
          </w:p>
        </w:tc>
      </w:tr>
      <w:tr w:rsidR="00D34362" w:rsidRPr="00D34362">
        <w:trPr>
          <w:gridAfter w:val="2"/>
          <w:wAfter w:w="46" w:type="dxa"/>
          <w:trHeight w:val="400"/>
        </w:trPr>
        <w:tc>
          <w:tcPr>
            <w:tcW w:w="2931" w:type="dxa"/>
            <w:gridSpan w:val="2"/>
            <w:shd w:val="clear" w:color="auto" w:fill="auto"/>
          </w:tcPr>
          <w:p w:rsidR="00F33637" w:rsidRPr="00D34362" w:rsidRDefault="00F33637" w:rsidP="00262185">
            <w:pPr>
              <w:rPr>
                <w:lang w:val="ro-RO"/>
              </w:rPr>
            </w:pPr>
            <w:r w:rsidRPr="00D34362">
              <w:rPr>
                <w:lang w:val="ro-RO"/>
              </w:rPr>
              <w:t xml:space="preserve">5.Propuneri pentru a  compensa reducerea </w:t>
            </w:r>
          </w:p>
          <w:p w:rsidR="00F33637" w:rsidRPr="00D34362" w:rsidRDefault="00F33637" w:rsidP="00262185">
            <w:pPr>
              <w:rPr>
                <w:lang w:val="ro-RO"/>
              </w:rPr>
            </w:pPr>
            <w:r w:rsidRPr="00D34362">
              <w:rPr>
                <w:lang w:val="ro-RO"/>
              </w:rPr>
              <w:t xml:space="preserve">veniturilor bugetare. </w:t>
            </w:r>
          </w:p>
        </w:tc>
        <w:tc>
          <w:tcPr>
            <w:tcW w:w="7524" w:type="dxa"/>
            <w:gridSpan w:val="7"/>
            <w:shd w:val="clear" w:color="auto" w:fill="auto"/>
          </w:tcPr>
          <w:p w:rsidR="00F33637" w:rsidRPr="00D34362" w:rsidRDefault="000901EB" w:rsidP="007253CE">
            <w:pPr>
              <w:jc w:val="both"/>
              <w:rPr>
                <w:lang w:val="ro-RO"/>
              </w:rPr>
            </w:pPr>
            <w:r w:rsidRPr="00D34362">
              <w:rPr>
                <w:lang w:val="ro-RO"/>
              </w:rPr>
              <w:t>Prezentul act normativ nu se referă la acest subiect.</w:t>
            </w:r>
          </w:p>
        </w:tc>
      </w:tr>
      <w:tr w:rsidR="00D34362" w:rsidRPr="00D34362">
        <w:trPr>
          <w:gridAfter w:val="2"/>
          <w:wAfter w:w="46" w:type="dxa"/>
          <w:trHeight w:val="532"/>
        </w:trPr>
        <w:tc>
          <w:tcPr>
            <w:tcW w:w="2931" w:type="dxa"/>
            <w:gridSpan w:val="2"/>
            <w:shd w:val="clear" w:color="auto" w:fill="auto"/>
          </w:tcPr>
          <w:p w:rsidR="00F33637" w:rsidRPr="00D34362" w:rsidRDefault="00F33637" w:rsidP="00262185">
            <w:pPr>
              <w:rPr>
                <w:lang w:val="ro-RO"/>
              </w:rPr>
            </w:pPr>
            <w:r w:rsidRPr="00D34362">
              <w:rPr>
                <w:lang w:val="ro-RO"/>
              </w:rPr>
              <w:t xml:space="preserve">6.Calcule detaliate privind fundamentarea </w:t>
            </w:r>
          </w:p>
          <w:p w:rsidR="00F33637" w:rsidRPr="00D34362" w:rsidRDefault="00F33637" w:rsidP="00262185">
            <w:pPr>
              <w:rPr>
                <w:lang w:val="ro-RO"/>
              </w:rPr>
            </w:pPr>
            <w:r w:rsidRPr="00D34362">
              <w:rPr>
                <w:lang w:val="ro-RO"/>
              </w:rPr>
              <w:t xml:space="preserve">modificărilor cheltuielilor bugetare </w:t>
            </w:r>
          </w:p>
        </w:tc>
        <w:tc>
          <w:tcPr>
            <w:tcW w:w="7524" w:type="dxa"/>
            <w:gridSpan w:val="7"/>
            <w:shd w:val="clear" w:color="auto" w:fill="auto"/>
          </w:tcPr>
          <w:p w:rsidR="00F33637" w:rsidRPr="00D34362" w:rsidRDefault="000901EB" w:rsidP="00AE651C">
            <w:pPr>
              <w:jc w:val="both"/>
              <w:rPr>
                <w:lang w:val="ro-RO"/>
              </w:rPr>
            </w:pPr>
            <w:r w:rsidRPr="00D34362">
              <w:rPr>
                <w:lang w:val="ro-RO"/>
              </w:rPr>
              <w:t>Prezentul act normativ nu se referă la acest subiect.</w:t>
            </w:r>
          </w:p>
        </w:tc>
      </w:tr>
      <w:tr w:rsidR="00D34362" w:rsidRPr="00D34362" w:rsidTr="004D1C2F">
        <w:trPr>
          <w:gridAfter w:val="2"/>
          <w:wAfter w:w="46" w:type="dxa"/>
          <w:trHeight w:val="329"/>
        </w:trPr>
        <w:tc>
          <w:tcPr>
            <w:tcW w:w="2931" w:type="dxa"/>
            <w:gridSpan w:val="2"/>
            <w:shd w:val="clear" w:color="auto" w:fill="auto"/>
          </w:tcPr>
          <w:p w:rsidR="00F33637" w:rsidRPr="00D34362" w:rsidRDefault="00F33637" w:rsidP="00262185">
            <w:pPr>
              <w:rPr>
                <w:lang w:val="ro-RO"/>
              </w:rPr>
            </w:pPr>
            <w:r w:rsidRPr="00D34362">
              <w:rPr>
                <w:lang w:val="ro-RO"/>
              </w:rPr>
              <w:t>7.Alte informaţii</w:t>
            </w:r>
          </w:p>
        </w:tc>
        <w:tc>
          <w:tcPr>
            <w:tcW w:w="7524" w:type="dxa"/>
            <w:gridSpan w:val="7"/>
            <w:shd w:val="clear" w:color="auto" w:fill="auto"/>
          </w:tcPr>
          <w:p w:rsidR="00F33637" w:rsidRPr="00D34362" w:rsidRDefault="006A2805" w:rsidP="00082B66">
            <w:pPr>
              <w:jc w:val="both"/>
              <w:rPr>
                <w:lang w:val="ro-RO"/>
              </w:rPr>
            </w:pPr>
            <w:r w:rsidRPr="00D34362">
              <w:rPr>
                <w:noProof/>
                <w:lang w:val="ro-RO"/>
              </w:rPr>
              <w:t xml:space="preserve">Finanțarea </w:t>
            </w:r>
            <w:r w:rsidR="00082B66" w:rsidRPr="00D34362">
              <w:rPr>
                <w:noProof/>
                <w:lang w:val="ro-RO"/>
              </w:rPr>
              <w:t xml:space="preserve">posturilor și cheltuielilor </w:t>
            </w:r>
            <w:r w:rsidRPr="00D34362">
              <w:rPr>
                <w:noProof/>
                <w:lang w:val="ro-RO"/>
              </w:rPr>
              <w:t>suplimentare se va asigura în condițiile legii, cu încadrarea în prevederile bugetare aprobate în bugetul ministerului</w:t>
            </w:r>
            <w:r w:rsidR="00082B66" w:rsidRPr="00D34362">
              <w:rPr>
                <w:noProof/>
                <w:lang w:val="ro-RO"/>
              </w:rPr>
              <w:t>, inclusiv din fonduri externe nerambursabile</w:t>
            </w:r>
            <w:r w:rsidR="00CF1882" w:rsidRPr="00D34362">
              <w:rPr>
                <w:noProof/>
                <w:lang w:val="ro-RO"/>
              </w:rPr>
              <w:t>.</w:t>
            </w:r>
          </w:p>
        </w:tc>
      </w:tr>
      <w:tr w:rsidR="00D34362" w:rsidRPr="00D34362">
        <w:trPr>
          <w:gridAfter w:val="2"/>
          <w:wAfter w:w="46" w:type="dxa"/>
          <w:trHeight w:val="131"/>
        </w:trPr>
        <w:tc>
          <w:tcPr>
            <w:tcW w:w="10455" w:type="dxa"/>
            <w:gridSpan w:val="9"/>
            <w:shd w:val="clear" w:color="auto" w:fill="auto"/>
          </w:tcPr>
          <w:p w:rsidR="00AE75FA" w:rsidRPr="00D34362" w:rsidRDefault="00F33637" w:rsidP="00DD64ED">
            <w:pPr>
              <w:jc w:val="both"/>
              <w:rPr>
                <w:b/>
                <w:lang w:val="ro-RO"/>
              </w:rPr>
            </w:pPr>
            <w:r w:rsidRPr="00D34362">
              <w:rPr>
                <w:b/>
                <w:lang w:val="ro-RO"/>
              </w:rPr>
              <w:t>Secţiunea a 5-a: Efectele prezentului act  normativ asupra legislaţiei în vigoare</w:t>
            </w:r>
          </w:p>
        </w:tc>
      </w:tr>
      <w:tr w:rsidR="00D34362" w:rsidRPr="00D34362">
        <w:trPr>
          <w:gridAfter w:val="2"/>
          <w:wAfter w:w="46" w:type="dxa"/>
          <w:trHeight w:val="275"/>
        </w:trPr>
        <w:tc>
          <w:tcPr>
            <w:tcW w:w="5133" w:type="dxa"/>
            <w:gridSpan w:val="4"/>
            <w:shd w:val="clear" w:color="auto" w:fill="auto"/>
          </w:tcPr>
          <w:p w:rsidR="00F33637" w:rsidRPr="00D34362" w:rsidRDefault="00F33637" w:rsidP="007253CE">
            <w:pPr>
              <w:jc w:val="both"/>
              <w:rPr>
                <w:lang w:val="ro-RO"/>
              </w:rPr>
            </w:pPr>
            <w:r w:rsidRPr="00D34362">
              <w:rPr>
                <w:lang w:val="ro-RO"/>
              </w:rPr>
              <w:t xml:space="preserve">1.Măsuri normative necesare pentru </w:t>
            </w:r>
          </w:p>
          <w:p w:rsidR="00F33637" w:rsidRPr="00D34362" w:rsidRDefault="00F33637" w:rsidP="007253CE">
            <w:pPr>
              <w:jc w:val="both"/>
              <w:rPr>
                <w:lang w:val="ro-RO"/>
              </w:rPr>
            </w:pPr>
            <w:r w:rsidRPr="00D34362">
              <w:rPr>
                <w:lang w:val="ro-RO"/>
              </w:rPr>
              <w:t xml:space="preserve">aplicarea prevederilor proiectului de act </w:t>
            </w:r>
          </w:p>
          <w:p w:rsidR="00F33637" w:rsidRPr="00D34362" w:rsidRDefault="00F33637" w:rsidP="007253CE">
            <w:pPr>
              <w:jc w:val="both"/>
              <w:rPr>
                <w:lang w:val="ro-RO"/>
              </w:rPr>
            </w:pPr>
            <w:r w:rsidRPr="00D34362">
              <w:rPr>
                <w:lang w:val="ro-RO"/>
              </w:rPr>
              <w:t xml:space="preserve">normativ. </w:t>
            </w:r>
          </w:p>
          <w:p w:rsidR="00F33637" w:rsidRPr="00D34362" w:rsidRDefault="00F33637" w:rsidP="00A74882">
            <w:pPr>
              <w:numPr>
                <w:ilvl w:val="0"/>
                <w:numId w:val="6"/>
              </w:numPr>
              <w:ind w:left="317" w:hanging="317"/>
              <w:rPr>
                <w:iCs/>
                <w:lang w:val="ro-RO"/>
              </w:rPr>
            </w:pPr>
            <w:r w:rsidRPr="00D34362">
              <w:rPr>
                <w:iCs/>
                <w:lang w:val="ro-RO"/>
              </w:rPr>
              <w:t>acte normative în vigoare ce vor fi modificate sau abrogate, ca urmare a intrării în vigoare a proiectului de act normativ;</w:t>
            </w:r>
          </w:p>
          <w:p w:rsidR="00F33637" w:rsidRPr="00D34362" w:rsidRDefault="00F33637" w:rsidP="00A74882">
            <w:pPr>
              <w:jc w:val="both"/>
              <w:rPr>
                <w:lang w:val="ro-RO"/>
              </w:rPr>
            </w:pPr>
            <w:r w:rsidRPr="00D34362">
              <w:rPr>
                <w:iCs/>
                <w:lang w:val="ro-RO"/>
              </w:rPr>
              <w:t>b) acte normative ce urmează a fi elaborate în vederea implementării noilor dispoziţii.</w:t>
            </w:r>
          </w:p>
        </w:tc>
        <w:tc>
          <w:tcPr>
            <w:tcW w:w="5322" w:type="dxa"/>
            <w:gridSpan w:val="5"/>
            <w:shd w:val="clear" w:color="auto" w:fill="auto"/>
          </w:tcPr>
          <w:p w:rsidR="001E6D2A" w:rsidRPr="00D34362" w:rsidRDefault="004F5E21" w:rsidP="001E6D2A">
            <w:pPr>
              <w:jc w:val="both"/>
              <w:rPr>
                <w:lang w:val="ro-RO"/>
              </w:rPr>
            </w:pPr>
            <w:r w:rsidRPr="00D34362">
              <w:rPr>
                <w:lang w:val="ro-RO"/>
              </w:rPr>
              <w:t>Hotărârea Guvernului nr.15/2017</w:t>
            </w:r>
            <w:r w:rsidR="007F100A" w:rsidRPr="00D34362">
              <w:rPr>
                <w:lang w:val="ro-RO"/>
              </w:rPr>
              <w:t xml:space="preserve"> privind organizarea şi funcţionarea Ministerului Dezvoltării Regionale, Administraţiei Publice şi Fondurilor Europene</w:t>
            </w:r>
            <w:r w:rsidR="001E6D2A" w:rsidRPr="00D34362">
              <w:rPr>
                <w:lang w:val="ro-RO"/>
              </w:rPr>
              <w:t>.</w:t>
            </w:r>
          </w:p>
          <w:p w:rsidR="00F33637" w:rsidRPr="00D34362" w:rsidRDefault="00F33637" w:rsidP="00D34362">
            <w:pPr>
              <w:shd w:val="clear" w:color="auto" w:fill="FFFFFF" w:themeFill="background1"/>
              <w:jc w:val="both"/>
              <w:rPr>
                <w:lang w:val="ro-RO"/>
              </w:rPr>
            </w:pPr>
          </w:p>
        </w:tc>
      </w:tr>
      <w:tr w:rsidR="00D34362" w:rsidRPr="00D34362">
        <w:trPr>
          <w:gridAfter w:val="2"/>
          <w:wAfter w:w="46" w:type="dxa"/>
          <w:trHeight w:val="275"/>
        </w:trPr>
        <w:tc>
          <w:tcPr>
            <w:tcW w:w="5133" w:type="dxa"/>
            <w:gridSpan w:val="4"/>
            <w:shd w:val="clear" w:color="auto" w:fill="auto"/>
          </w:tcPr>
          <w:p w:rsidR="00E30054" w:rsidRPr="00D34362" w:rsidRDefault="00E30054" w:rsidP="007253CE">
            <w:pPr>
              <w:jc w:val="both"/>
              <w:rPr>
                <w:lang w:val="ro-RO"/>
              </w:rPr>
            </w:pPr>
            <w:r w:rsidRPr="00D34362">
              <w:rPr>
                <w:lang w:val="ro-RO"/>
              </w:rPr>
              <w:t>1</w:t>
            </w:r>
            <w:r w:rsidRPr="00D34362">
              <w:rPr>
                <w:vertAlign w:val="superscript"/>
                <w:lang w:val="ro-RO"/>
              </w:rPr>
              <w:t>1</w:t>
            </w:r>
            <w:r w:rsidRPr="00D34362">
              <w:rPr>
                <w:lang w:val="ro-RO"/>
              </w:rPr>
              <w:t xml:space="preserve"> Compatibilitatea proiectului de act normativ cu legislația în domeniul achizițiilor publice</w:t>
            </w:r>
          </w:p>
        </w:tc>
        <w:tc>
          <w:tcPr>
            <w:tcW w:w="5322" w:type="dxa"/>
            <w:gridSpan w:val="5"/>
            <w:shd w:val="clear" w:color="auto" w:fill="auto"/>
          </w:tcPr>
          <w:p w:rsidR="00E30054" w:rsidRPr="00D34362" w:rsidRDefault="003339BD" w:rsidP="001E6D2A">
            <w:pPr>
              <w:jc w:val="both"/>
              <w:rPr>
                <w:lang w:val="ro-RO"/>
              </w:rPr>
            </w:pPr>
            <w:r w:rsidRPr="00D34362">
              <w:rPr>
                <w:lang w:val="ro-RO"/>
              </w:rPr>
              <w:t xml:space="preserve">Prezentul act normativ nu se referă la acest subiect. </w:t>
            </w:r>
          </w:p>
        </w:tc>
      </w:tr>
      <w:tr w:rsidR="00D34362" w:rsidRPr="00D34362">
        <w:trPr>
          <w:gridAfter w:val="2"/>
          <w:wAfter w:w="46" w:type="dxa"/>
          <w:trHeight w:val="60"/>
        </w:trPr>
        <w:tc>
          <w:tcPr>
            <w:tcW w:w="5133" w:type="dxa"/>
            <w:gridSpan w:val="4"/>
            <w:shd w:val="clear" w:color="auto" w:fill="auto"/>
          </w:tcPr>
          <w:p w:rsidR="00F33637" w:rsidRPr="00D34362" w:rsidRDefault="00F33637" w:rsidP="007253CE">
            <w:pPr>
              <w:jc w:val="both"/>
              <w:rPr>
                <w:lang w:val="ro-RO"/>
              </w:rPr>
            </w:pPr>
            <w:r w:rsidRPr="00D34362">
              <w:rPr>
                <w:lang w:val="ro-RO"/>
              </w:rPr>
              <w:t xml:space="preserve">2.Conformitatea proiectului de act normativ cu legislaţia comunitară în cazul proiectelor ce transpun prevederi comunitare. </w:t>
            </w:r>
          </w:p>
        </w:tc>
        <w:tc>
          <w:tcPr>
            <w:tcW w:w="5322" w:type="dxa"/>
            <w:gridSpan w:val="5"/>
            <w:shd w:val="clear" w:color="auto" w:fill="auto"/>
          </w:tcPr>
          <w:p w:rsidR="00F33637" w:rsidRPr="00D34362" w:rsidRDefault="003339BD" w:rsidP="007253CE">
            <w:pPr>
              <w:jc w:val="both"/>
              <w:rPr>
                <w:lang w:val="ro-RO"/>
              </w:rPr>
            </w:pPr>
            <w:r w:rsidRPr="00D34362">
              <w:rPr>
                <w:lang w:val="ro-RO"/>
              </w:rPr>
              <w:t>Prezentul act normativ nu se referă la acest subiect .</w:t>
            </w:r>
          </w:p>
        </w:tc>
      </w:tr>
      <w:tr w:rsidR="00D34362" w:rsidRPr="00D34362">
        <w:trPr>
          <w:gridAfter w:val="2"/>
          <w:wAfter w:w="46" w:type="dxa"/>
          <w:trHeight w:val="60"/>
        </w:trPr>
        <w:tc>
          <w:tcPr>
            <w:tcW w:w="5133" w:type="dxa"/>
            <w:gridSpan w:val="4"/>
            <w:shd w:val="clear" w:color="auto" w:fill="auto"/>
          </w:tcPr>
          <w:p w:rsidR="00F33637" w:rsidRPr="00D34362" w:rsidRDefault="00F33637" w:rsidP="007253CE">
            <w:pPr>
              <w:jc w:val="both"/>
              <w:rPr>
                <w:lang w:val="ro-RO"/>
              </w:rPr>
            </w:pPr>
            <w:r w:rsidRPr="00D34362">
              <w:rPr>
                <w:lang w:val="ro-RO"/>
              </w:rPr>
              <w:t xml:space="preserve">3.Măsuri normative necesare aplicării  </w:t>
            </w:r>
          </w:p>
          <w:p w:rsidR="00F33637" w:rsidRPr="00D34362" w:rsidRDefault="00F33637" w:rsidP="007253CE">
            <w:pPr>
              <w:jc w:val="both"/>
              <w:rPr>
                <w:lang w:val="ro-RO"/>
              </w:rPr>
            </w:pPr>
            <w:r w:rsidRPr="00D34362">
              <w:rPr>
                <w:lang w:val="ro-RO"/>
              </w:rPr>
              <w:t xml:space="preserve">directe a actelor normative comunitare.  </w:t>
            </w:r>
          </w:p>
        </w:tc>
        <w:tc>
          <w:tcPr>
            <w:tcW w:w="5322" w:type="dxa"/>
            <w:gridSpan w:val="5"/>
            <w:shd w:val="clear" w:color="auto" w:fill="auto"/>
          </w:tcPr>
          <w:p w:rsidR="00F33637" w:rsidRPr="00D34362" w:rsidRDefault="003339BD" w:rsidP="007253CE">
            <w:pPr>
              <w:jc w:val="both"/>
              <w:rPr>
                <w:lang w:val="ro-RO"/>
              </w:rPr>
            </w:pPr>
            <w:r w:rsidRPr="00D34362">
              <w:rPr>
                <w:lang w:val="ro-RO"/>
              </w:rPr>
              <w:t>Prezentul act normativ nu se referă la acest subiect.</w:t>
            </w:r>
          </w:p>
        </w:tc>
      </w:tr>
      <w:tr w:rsidR="00D34362" w:rsidRPr="00D34362">
        <w:trPr>
          <w:gridAfter w:val="2"/>
          <w:wAfter w:w="46" w:type="dxa"/>
          <w:trHeight w:val="60"/>
        </w:trPr>
        <w:tc>
          <w:tcPr>
            <w:tcW w:w="5133" w:type="dxa"/>
            <w:gridSpan w:val="4"/>
            <w:shd w:val="clear" w:color="auto" w:fill="auto"/>
          </w:tcPr>
          <w:p w:rsidR="00F33637" w:rsidRPr="00D34362" w:rsidRDefault="00F33637" w:rsidP="007253CE">
            <w:pPr>
              <w:jc w:val="both"/>
              <w:rPr>
                <w:lang w:val="ro-RO"/>
              </w:rPr>
            </w:pPr>
            <w:r w:rsidRPr="00D34362">
              <w:rPr>
                <w:lang w:val="ro-RO"/>
              </w:rPr>
              <w:t xml:space="preserve">4.Hotărâri ale Curţii de Justiţie a Uniunii </w:t>
            </w:r>
          </w:p>
          <w:p w:rsidR="00F33637" w:rsidRPr="00D34362" w:rsidRDefault="00F33637" w:rsidP="007253CE">
            <w:pPr>
              <w:jc w:val="both"/>
              <w:rPr>
                <w:lang w:val="ro-RO"/>
              </w:rPr>
            </w:pPr>
            <w:r w:rsidRPr="00D34362">
              <w:rPr>
                <w:lang w:val="ro-RO"/>
              </w:rPr>
              <w:t>Europene</w:t>
            </w:r>
          </w:p>
        </w:tc>
        <w:tc>
          <w:tcPr>
            <w:tcW w:w="5322" w:type="dxa"/>
            <w:gridSpan w:val="5"/>
            <w:shd w:val="clear" w:color="auto" w:fill="auto"/>
          </w:tcPr>
          <w:p w:rsidR="00F33637" w:rsidRPr="00D34362" w:rsidRDefault="003339BD" w:rsidP="007253CE">
            <w:pPr>
              <w:jc w:val="both"/>
              <w:rPr>
                <w:lang w:val="ro-RO"/>
              </w:rPr>
            </w:pPr>
            <w:r w:rsidRPr="00D34362">
              <w:rPr>
                <w:lang w:val="ro-RO"/>
              </w:rPr>
              <w:t>Prezentul act normativ nu se referă la acest subiect.</w:t>
            </w:r>
          </w:p>
        </w:tc>
      </w:tr>
      <w:tr w:rsidR="00D34362" w:rsidRPr="00D34362">
        <w:trPr>
          <w:gridAfter w:val="2"/>
          <w:wAfter w:w="46" w:type="dxa"/>
          <w:trHeight w:val="60"/>
        </w:trPr>
        <w:tc>
          <w:tcPr>
            <w:tcW w:w="5133" w:type="dxa"/>
            <w:gridSpan w:val="4"/>
            <w:shd w:val="clear" w:color="auto" w:fill="auto"/>
          </w:tcPr>
          <w:p w:rsidR="00F33637" w:rsidRPr="00D34362" w:rsidRDefault="00F33637" w:rsidP="007253CE">
            <w:pPr>
              <w:jc w:val="both"/>
              <w:rPr>
                <w:lang w:val="ro-RO"/>
              </w:rPr>
            </w:pPr>
            <w:r w:rsidRPr="00D34362">
              <w:rPr>
                <w:lang w:val="ro-RO"/>
              </w:rPr>
              <w:t xml:space="preserve">5.Alte acte normative  şi/sau documente </w:t>
            </w:r>
          </w:p>
          <w:p w:rsidR="00F33637" w:rsidRPr="00D34362" w:rsidRDefault="00F33637" w:rsidP="007253CE">
            <w:pPr>
              <w:jc w:val="both"/>
              <w:rPr>
                <w:lang w:val="ro-RO"/>
              </w:rPr>
            </w:pPr>
            <w:r w:rsidRPr="00D34362">
              <w:rPr>
                <w:lang w:val="ro-RO"/>
              </w:rPr>
              <w:t xml:space="preserve">internaţionale din care decurg angajamente, făcându-se referire la un anume acord, o anume rezoluţie sau recomandare internaţională ori la alt document al unei organizaţii internaţionale. </w:t>
            </w:r>
          </w:p>
        </w:tc>
        <w:tc>
          <w:tcPr>
            <w:tcW w:w="5322" w:type="dxa"/>
            <w:gridSpan w:val="5"/>
            <w:shd w:val="clear" w:color="auto" w:fill="auto"/>
          </w:tcPr>
          <w:p w:rsidR="00F33637" w:rsidRPr="00D34362" w:rsidRDefault="003339BD" w:rsidP="007253CE">
            <w:pPr>
              <w:jc w:val="both"/>
              <w:rPr>
                <w:lang w:val="ro-RO"/>
              </w:rPr>
            </w:pPr>
            <w:r w:rsidRPr="00D34362">
              <w:rPr>
                <w:lang w:val="ro-RO"/>
              </w:rPr>
              <w:t>Prezentul act normativ nu se referă la acest subiect.</w:t>
            </w:r>
          </w:p>
        </w:tc>
      </w:tr>
      <w:tr w:rsidR="00D34362" w:rsidRPr="00D34362">
        <w:trPr>
          <w:gridAfter w:val="2"/>
          <w:wAfter w:w="46" w:type="dxa"/>
          <w:trHeight w:val="60"/>
        </w:trPr>
        <w:tc>
          <w:tcPr>
            <w:tcW w:w="5133" w:type="dxa"/>
            <w:gridSpan w:val="4"/>
            <w:shd w:val="clear" w:color="auto" w:fill="auto"/>
          </w:tcPr>
          <w:p w:rsidR="00F33637" w:rsidRPr="00D34362" w:rsidRDefault="00F33637" w:rsidP="000F19FA">
            <w:pPr>
              <w:jc w:val="both"/>
              <w:rPr>
                <w:lang w:val="ro-RO"/>
              </w:rPr>
            </w:pPr>
            <w:r w:rsidRPr="00D34362">
              <w:rPr>
                <w:lang w:val="ro-RO"/>
              </w:rPr>
              <w:t xml:space="preserve">6. Alte informaţii  </w:t>
            </w:r>
          </w:p>
        </w:tc>
        <w:tc>
          <w:tcPr>
            <w:tcW w:w="5322" w:type="dxa"/>
            <w:gridSpan w:val="5"/>
            <w:shd w:val="clear" w:color="auto" w:fill="auto"/>
          </w:tcPr>
          <w:p w:rsidR="009C328A" w:rsidRPr="00D34362" w:rsidRDefault="00F33637" w:rsidP="00EF3884">
            <w:pPr>
              <w:rPr>
                <w:lang w:val="ro-RO"/>
              </w:rPr>
            </w:pPr>
            <w:r w:rsidRPr="00D34362">
              <w:rPr>
                <w:lang w:val="ro-RO"/>
              </w:rPr>
              <w:t>Nu au fost identificate</w:t>
            </w:r>
          </w:p>
        </w:tc>
      </w:tr>
      <w:tr w:rsidR="00D34362" w:rsidRPr="00D34362">
        <w:trPr>
          <w:gridAfter w:val="2"/>
          <w:wAfter w:w="46" w:type="dxa"/>
          <w:trHeight w:val="60"/>
        </w:trPr>
        <w:tc>
          <w:tcPr>
            <w:tcW w:w="10455" w:type="dxa"/>
            <w:gridSpan w:val="9"/>
            <w:shd w:val="clear" w:color="auto" w:fill="auto"/>
          </w:tcPr>
          <w:p w:rsidR="009C328A" w:rsidRPr="00D34362" w:rsidRDefault="00F33637" w:rsidP="00D34362">
            <w:pPr>
              <w:jc w:val="both"/>
              <w:rPr>
                <w:b/>
                <w:lang w:val="ro-RO"/>
              </w:rPr>
            </w:pPr>
            <w:r w:rsidRPr="00D34362">
              <w:rPr>
                <w:b/>
                <w:lang w:val="ro-RO"/>
              </w:rPr>
              <w:t>Secţiunea a 6-a: Consultările efectuate în vederea elaborării prezentului act normativ</w:t>
            </w:r>
          </w:p>
        </w:tc>
      </w:tr>
      <w:tr w:rsidR="00D34362" w:rsidRPr="00D34362">
        <w:trPr>
          <w:gridAfter w:val="2"/>
          <w:wAfter w:w="46" w:type="dxa"/>
          <w:trHeight w:val="60"/>
        </w:trPr>
        <w:tc>
          <w:tcPr>
            <w:tcW w:w="5133" w:type="dxa"/>
            <w:gridSpan w:val="4"/>
            <w:shd w:val="clear" w:color="auto" w:fill="auto"/>
          </w:tcPr>
          <w:p w:rsidR="00F33637" w:rsidRPr="00D34362" w:rsidRDefault="00F33637" w:rsidP="007253CE">
            <w:pPr>
              <w:jc w:val="both"/>
              <w:rPr>
                <w:lang w:val="ro-RO"/>
              </w:rPr>
            </w:pPr>
            <w:r w:rsidRPr="00D34362">
              <w:rPr>
                <w:lang w:val="ro-RO"/>
              </w:rPr>
              <w:t xml:space="preserve">1.Informaţii privind procesul de consultare </w:t>
            </w:r>
          </w:p>
          <w:p w:rsidR="00F33637" w:rsidRPr="00D34362" w:rsidRDefault="00F33637" w:rsidP="007253CE">
            <w:pPr>
              <w:jc w:val="both"/>
              <w:rPr>
                <w:lang w:val="ro-RO"/>
              </w:rPr>
            </w:pPr>
            <w:r w:rsidRPr="00D34362">
              <w:rPr>
                <w:lang w:val="ro-RO"/>
              </w:rPr>
              <w:t xml:space="preserve">cu organizaţii neguvernamentale, institute </w:t>
            </w:r>
          </w:p>
          <w:p w:rsidR="00F33637" w:rsidRPr="00D34362" w:rsidRDefault="00F33637" w:rsidP="007253CE">
            <w:pPr>
              <w:jc w:val="both"/>
              <w:rPr>
                <w:lang w:val="ro-RO"/>
              </w:rPr>
            </w:pPr>
            <w:r w:rsidRPr="00D34362">
              <w:rPr>
                <w:lang w:val="ro-RO"/>
              </w:rPr>
              <w:t xml:space="preserve">de cercetare şi alte organisme implicate </w:t>
            </w:r>
          </w:p>
        </w:tc>
        <w:tc>
          <w:tcPr>
            <w:tcW w:w="5322" w:type="dxa"/>
            <w:gridSpan w:val="5"/>
            <w:shd w:val="clear" w:color="auto" w:fill="auto"/>
          </w:tcPr>
          <w:p w:rsidR="00F33637" w:rsidRPr="00D34362" w:rsidRDefault="00697673" w:rsidP="003339BD">
            <w:pPr>
              <w:autoSpaceDE w:val="0"/>
              <w:autoSpaceDN w:val="0"/>
              <w:adjustRightInd w:val="0"/>
              <w:ind w:left="30"/>
              <w:jc w:val="both"/>
              <w:rPr>
                <w:lang w:val="ro-RO"/>
              </w:rPr>
            </w:pPr>
            <w:r w:rsidRPr="00D34362">
              <w:rPr>
                <w:lang w:val="ro-RO"/>
              </w:rPr>
              <w:t xml:space="preserve">Proiectul de act normativ a fost supus consultării publice pe site-ul </w:t>
            </w:r>
            <w:r w:rsidR="003339BD" w:rsidRPr="00D34362">
              <w:rPr>
                <w:lang w:val="ro-RO"/>
              </w:rPr>
              <w:t>ministerului.</w:t>
            </w:r>
          </w:p>
        </w:tc>
      </w:tr>
      <w:tr w:rsidR="00D34362" w:rsidRPr="00D34362">
        <w:trPr>
          <w:gridAfter w:val="2"/>
          <w:wAfter w:w="46" w:type="dxa"/>
          <w:trHeight w:val="60"/>
        </w:trPr>
        <w:tc>
          <w:tcPr>
            <w:tcW w:w="5133" w:type="dxa"/>
            <w:gridSpan w:val="4"/>
            <w:shd w:val="clear" w:color="auto" w:fill="auto"/>
          </w:tcPr>
          <w:p w:rsidR="00F33637" w:rsidRPr="00D34362" w:rsidRDefault="00F33637" w:rsidP="007253CE">
            <w:pPr>
              <w:jc w:val="both"/>
              <w:rPr>
                <w:lang w:val="ro-RO"/>
              </w:rPr>
            </w:pPr>
            <w:r w:rsidRPr="00D34362">
              <w:rPr>
                <w:lang w:val="ro-RO"/>
              </w:rPr>
              <w:t xml:space="preserve">2.Fundamentarea alegerii organizaţiilor cu </w:t>
            </w:r>
          </w:p>
          <w:p w:rsidR="00F33637" w:rsidRPr="00D34362" w:rsidRDefault="00F33637" w:rsidP="007253CE">
            <w:pPr>
              <w:jc w:val="both"/>
              <w:rPr>
                <w:lang w:val="ro-RO"/>
              </w:rPr>
            </w:pPr>
            <w:r w:rsidRPr="00D34362">
              <w:rPr>
                <w:lang w:val="ro-RO"/>
              </w:rPr>
              <w:lastRenderedPageBreak/>
              <w:t xml:space="preserve">care a avut loc consultarea, precum şi a </w:t>
            </w:r>
          </w:p>
          <w:p w:rsidR="00F33637" w:rsidRPr="00D34362" w:rsidRDefault="00F33637" w:rsidP="00E560F0">
            <w:pPr>
              <w:jc w:val="both"/>
              <w:rPr>
                <w:lang w:val="ro-RO"/>
              </w:rPr>
            </w:pPr>
            <w:r w:rsidRPr="00D34362">
              <w:rPr>
                <w:lang w:val="ro-RO"/>
              </w:rPr>
              <w:t xml:space="preserve">modului în care activitatea acestor organizaţii este legată de obiectul proiectului de act normativ </w:t>
            </w:r>
          </w:p>
        </w:tc>
        <w:tc>
          <w:tcPr>
            <w:tcW w:w="5322" w:type="dxa"/>
            <w:gridSpan w:val="5"/>
            <w:shd w:val="clear" w:color="auto" w:fill="auto"/>
          </w:tcPr>
          <w:p w:rsidR="00F33637" w:rsidRPr="00D34362" w:rsidRDefault="003339BD" w:rsidP="00E560F0">
            <w:pPr>
              <w:jc w:val="both"/>
              <w:rPr>
                <w:lang w:val="ro-RO"/>
              </w:rPr>
            </w:pPr>
            <w:r w:rsidRPr="00D34362">
              <w:rPr>
                <w:lang w:val="ro-RO"/>
              </w:rPr>
              <w:lastRenderedPageBreak/>
              <w:t>Prezentul act normativ nu se referă la acest subiect.</w:t>
            </w:r>
          </w:p>
        </w:tc>
      </w:tr>
      <w:tr w:rsidR="00D34362" w:rsidRPr="00D34362">
        <w:trPr>
          <w:gridAfter w:val="2"/>
          <w:wAfter w:w="46" w:type="dxa"/>
          <w:trHeight w:val="60"/>
        </w:trPr>
        <w:tc>
          <w:tcPr>
            <w:tcW w:w="5133" w:type="dxa"/>
            <w:gridSpan w:val="4"/>
            <w:shd w:val="clear" w:color="auto" w:fill="auto"/>
          </w:tcPr>
          <w:p w:rsidR="00F33637" w:rsidRPr="00D34362" w:rsidRDefault="00F33637" w:rsidP="001E6D2A">
            <w:pPr>
              <w:jc w:val="both"/>
              <w:rPr>
                <w:lang w:val="ro-RO"/>
              </w:rPr>
            </w:pPr>
            <w:r w:rsidRPr="00D34362">
              <w:rPr>
                <w:lang w:val="ro-RO"/>
              </w:rPr>
              <w:t xml:space="preserve">3.Consultările organizate cu autorităţile </w:t>
            </w:r>
          </w:p>
          <w:p w:rsidR="00F33637" w:rsidRPr="00D34362" w:rsidRDefault="00F33637" w:rsidP="00F119FA">
            <w:pPr>
              <w:jc w:val="both"/>
              <w:rPr>
                <w:lang w:val="ro-RO"/>
              </w:rPr>
            </w:pPr>
            <w:r w:rsidRPr="00D34362">
              <w:rPr>
                <w:lang w:val="ro-RO"/>
              </w:rPr>
              <w:t xml:space="preserve">administraţiei publice locale, în situaţia în </w:t>
            </w:r>
          </w:p>
          <w:p w:rsidR="00F33637" w:rsidRPr="00D34362" w:rsidRDefault="00F33637" w:rsidP="00726CF2">
            <w:pPr>
              <w:jc w:val="both"/>
              <w:rPr>
                <w:lang w:val="ro-RO"/>
              </w:rPr>
            </w:pPr>
            <w:r w:rsidRPr="00D34362">
              <w:rPr>
                <w:lang w:val="ro-RO"/>
              </w:rPr>
              <w:t xml:space="preserve">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 </w:t>
            </w:r>
          </w:p>
        </w:tc>
        <w:tc>
          <w:tcPr>
            <w:tcW w:w="5322" w:type="dxa"/>
            <w:gridSpan w:val="5"/>
            <w:shd w:val="clear" w:color="auto" w:fill="auto"/>
          </w:tcPr>
          <w:p w:rsidR="00F33637" w:rsidRPr="00D34362" w:rsidRDefault="003339BD" w:rsidP="0035472C">
            <w:pPr>
              <w:rPr>
                <w:b/>
                <w:lang w:val="ro-RO"/>
              </w:rPr>
            </w:pPr>
            <w:r w:rsidRPr="00D34362">
              <w:rPr>
                <w:lang w:val="ro-RO"/>
              </w:rPr>
              <w:t>Prezentul act normativ nu se referă la acest subiect.</w:t>
            </w:r>
          </w:p>
        </w:tc>
      </w:tr>
      <w:tr w:rsidR="00D34362" w:rsidRPr="00D34362">
        <w:trPr>
          <w:gridAfter w:val="2"/>
          <w:wAfter w:w="46" w:type="dxa"/>
          <w:trHeight w:val="60"/>
        </w:trPr>
        <w:tc>
          <w:tcPr>
            <w:tcW w:w="5133" w:type="dxa"/>
            <w:gridSpan w:val="4"/>
            <w:shd w:val="clear" w:color="auto" w:fill="auto"/>
          </w:tcPr>
          <w:p w:rsidR="00F33637" w:rsidRPr="00D34362" w:rsidRDefault="00F33637" w:rsidP="00E560F0">
            <w:pPr>
              <w:jc w:val="both"/>
              <w:rPr>
                <w:lang w:val="ro-RO"/>
              </w:rPr>
            </w:pPr>
            <w:r w:rsidRPr="00D34362">
              <w:rPr>
                <w:lang w:val="ro-RO"/>
              </w:rPr>
              <w:t xml:space="preserve">4.Consultările desfăşurate în cadrul consiliilor interministeriale, în conformitate cu prevederile Hotărârii Guvernului nr. 750/2005 privind constituirea consiliilor interministeriale permanente </w:t>
            </w:r>
          </w:p>
        </w:tc>
        <w:tc>
          <w:tcPr>
            <w:tcW w:w="5322" w:type="dxa"/>
            <w:gridSpan w:val="5"/>
            <w:shd w:val="clear" w:color="auto" w:fill="auto"/>
          </w:tcPr>
          <w:p w:rsidR="00F33637" w:rsidRPr="00D34362" w:rsidRDefault="003339BD" w:rsidP="00672303">
            <w:pPr>
              <w:jc w:val="both"/>
              <w:rPr>
                <w:lang w:val="ro-RO"/>
              </w:rPr>
            </w:pPr>
            <w:r w:rsidRPr="00D34362">
              <w:rPr>
                <w:lang w:val="ro-RO"/>
              </w:rPr>
              <w:t>Prezentul act normativ nu se referă la acest subiect.</w:t>
            </w:r>
          </w:p>
        </w:tc>
      </w:tr>
      <w:tr w:rsidR="00D34362" w:rsidRPr="00D34362">
        <w:trPr>
          <w:gridAfter w:val="2"/>
          <w:wAfter w:w="46" w:type="dxa"/>
          <w:trHeight w:val="60"/>
        </w:trPr>
        <w:tc>
          <w:tcPr>
            <w:tcW w:w="5133" w:type="dxa"/>
            <w:gridSpan w:val="4"/>
            <w:shd w:val="clear" w:color="auto" w:fill="auto"/>
          </w:tcPr>
          <w:p w:rsidR="00F33637" w:rsidRPr="00D34362" w:rsidRDefault="00F33637" w:rsidP="007253CE">
            <w:pPr>
              <w:jc w:val="both"/>
              <w:rPr>
                <w:lang w:val="ro-RO"/>
              </w:rPr>
            </w:pPr>
            <w:r w:rsidRPr="00D34362">
              <w:rPr>
                <w:lang w:val="ro-RO"/>
              </w:rPr>
              <w:t xml:space="preserve">5.Informaţii privind avizarea de către </w:t>
            </w:r>
          </w:p>
          <w:p w:rsidR="00F33637" w:rsidRPr="00D34362" w:rsidRDefault="00F33637" w:rsidP="007253CE">
            <w:pPr>
              <w:jc w:val="both"/>
              <w:rPr>
                <w:lang w:val="ro-RO"/>
              </w:rPr>
            </w:pPr>
            <w:r w:rsidRPr="00D34362">
              <w:rPr>
                <w:lang w:val="ro-RO"/>
              </w:rPr>
              <w:t xml:space="preserve">a)Consiliul Legislativ  </w:t>
            </w:r>
          </w:p>
          <w:p w:rsidR="00F33637" w:rsidRPr="00D34362" w:rsidRDefault="00F33637" w:rsidP="007253CE">
            <w:pPr>
              <w:jc w:val="both"/>
              <w:rPr>
                <w:lang w:val="ro-RO"/>
              </w:rPr>
            </w:pPr>
            <w:r w:rsidRPr="00D34362">
              <w:rPr>
                <w:lang w:val="ro-RO"/>
              </w:rPr>
              <w:t xml:space="preserve">b)Consiliul Suprem de Apărare a Ţării </w:t>
            </w:r>
          </w:p>
          <w:p w:rsidR="00F33637" w:rsidRPr="00D34362" w:rsidRDefault="00F33637" w:rsidP="007253CE">
            <w:pPr>
              <w:jc w:val="both"/>
              <w:rPr>
                <w:lang w:val="ro-RO"/>
              </w:rPr>
            </w:pPr>
            <w:r w:rsidRPr="00D34362">
              <w:rPr>
                <w:lang w:val="ro-RO"/>
              </w:rPr>
              <w:t xml:space="preserve">c)Consiliul Economic şi Social </w:t>
            </w:r>
          </w:p>
          <w:p w:rsidR="00F33637" w:rsidRPr="00D34362" w:rsidRDefault="00F33637" w:rsidP="007253CE">
            <w:pPr>
              <w:jc w:val="both"/>
              <w:rPr>
                <w:lang w:val="ro-RO"/>
              </w:rPr>
            </w:pPr>
            <w:r w:rsidRPr="00D34362">
              <w:rPr>
                <w:lang w:val="ro-RO"/>
              </w:rPr>
              <w:t xml:space="preserve">d)Consiliul Concurenţei </w:t>
            </w:r>
          </w:p>
          <w:p w:rsidR="00F33637" w:rsidRPr="00D34362" w:rsidRDefault="00F33637" w:rsidP="007253CE">
            <w:pPr>
              <w:jc w:val="both"/>
              <w:rPr>
                <w:lang w:val="ro-RO"/>
              </w:rPr>
            </w:pPr>
            <w:r w:rsidRPr="00D34362">
              <w:rPr>
                <w:lang w:val="ro-RO"/>
              </w:rPr>
              <w:t xml:space="preserve">e)Curtea de Conturi </w:t>
            </w:r>
          </w:p>
        </w:tc>
        <w:tc>
          <w:tcPr>
            <w:tcW w:w="5322" w:type="dxa"/>
            <w:gridSpan w:val="5"/>
            <w:shd w:val="clear" w:color="auto" w:fill="auto"/>
          </w:tcPr>
          <w:p w:rsidR="00190DF8" w:rsidRPr="00D34362" w:rsidRDefault="00710565" w:rsidP="00EC529E">
            <w:pPr>
              <w:autoSpaceDE w:val="0"/>
              <w:autoSpaceDN w:val="0"/>
              <w:adjustRightInd w:val="0"/>
              <w:jc w:val="both"/>
              <w:rPr>
                <w:lang w:val="ro-RO"/>
              </w:rPr>
            </w:pPr>
            <w:r w:rsidRPr="00D34362">
              <w:rPr>
                <w:lang w:val="ro-RO"/>
              </w:rPr>
              <w:t xml:space="preserve">În conformitate cu prevederile Legii nr.24/2000 privind normele de tehnică legislativă pentru elaborarea actelor normative, republicată şi ale Hotărârii Guvernului nr. 561/2009 pentru aprobarea Regulamentului privind procedurile, la nivelul Guvernului, pentru elaborarea, avizarea şi prezentarea proiectelor de documente de politici publice, a proiectelor de acte normative, precum şi a altor documente, în vederea adoptării/aprobării,  prezentul proiect de act normativ </w:t>
            </w:r>
            <w:r w:rsidR="00200125" w:rsidRPr="00D34362">
              <w:rPr>
                <w:lang w:val="ro-RO"/>
              </w:rPr>
              <w:t xml:space="preserve">a fost avizat </w:t>
            </w:r>
            <w:r w:rsidRPr="00D34362">
              <w:rPr>
                <w:lang w:val="ro-RO"/>
              </w:rPr>
              <w:t>de către Consiliul Legislativ.</w:t>
            </w:r>
          </w:p>
        </w:tc>
      </w:tr>
      <w:tr w:rsidR="00D34362" w:rsidRPr="00D34362">
        <w:trPr>
          <w:gridAfter w:val="2"/>
          <w:wAfter w:w="46" w:type="dxa"/>
          <w:trHeight w:val="60"/>
        </w:trPr>
        <w:tc>
          <w:tcPr>
            <w:tcW w:w="5133" w:type="dxa"/>
            <w:gridSpan w:val="4"/>
            <w:shd w:val="clear" w:color="auto" w:fill="auto"/>
          </w:tcPr>
          <w:p w:rsidR="00F33637" w:rsidRPr="00D34362" w:rsidRDefault="00F33637" w:rsidP="00714413">
            <w:pPr>
              <w:jc w:val="both"/>
              <w:rPr>
                <w:lang w:val="ro-RO"/>
              </w:rPr>
            </w:pPr>
            <w:r w:rsidRPr="00D34362">
              <w:rPr>
                <w:lang w:val="ro-RO"/>
              </w:rPr>
              <w:t xml:space="preserve">6. Alte informaţii  </w:t>
            </w:r>
          </w:p>
        </w:tc>
        <w:tc>
          <w:tcPr>
            <w:tcW w:w="5322" w:type="dxa"/>
            <w:gridSpan w:val="5"/>
            <w:shd w:val="clear" w:color="auto" w:fill="auto"/>
          </w:tcPr>
          <w:p w:rsidR="009C328A" w:rsidRPr="00D34362" w:rsidRDefault="00F33637" w:rsidP="00EF3884">
            <w:pPr>
              <w:rPr>
                <w:b/>
                <w:lang w:val="ro-RO"/>
              </w:rPr>
            </w:pPr>
            <w:r w:rsidRPr="00D34362">
              <w:rPr>
                <w:lang w:val="ro-RO"/>
              </w:rPr>
              <w:t>Nu au fost identificate</w:t>
            </w:r>
          </w:p>
        </w:tc>
      </w:tr>
      <w:tr w:rsidR="00D34362" w:rsidRPr="00D34362">
        <w:trPr>
          <w:gridAfter w:val="2"/>
          <w:wAfter w:w="46" w:type="dxa"/>
          <w:trHeight w:val="60"/>
        </w:trPr>
        <w:tc>
          <w:tcPr>
            <w:tcW w:w="10455" w:type="dxa"/>
            <w:gridSpan w:val="9"/>
            <w:shd w:val="clear" w:color="auto" w:fill="auto"/>
          </w:tcPr>
          <w:p w:rsidR="009C328A" w:rsidRPr="00D34362" w:rsidRDefault="00F33637" w:rsidP="00DD64ED">
            <w:pPr>
              <w:jc w:val="both"/>
              <w:rPr>
                <w:b/>
                <w:lang w:val="ro-RO"/>
              </w:rPr>
            </w:pPr>
            <w:r w:rsidRPr="00D34362">
              <w:rPr>
                <w:b/>
                <w:lang w:val="ro-RO"/>
              </w:rPr>
              <w:t>Secţiunea a 7-a: Activităţi de informare publică privind elaborarea şi implementarea prezentului act normativ</w:t>
            </w:r>
          </w:p>
        </w:tc>
      </w:tr>
      <w:tr w:rsidR="00D34362" w:rsidRPr="00D34362">
        <w:trPr>
          <w:gridAfter w:val="2"/>
          <w:wAfter w:w="46" w:type="dxa"/>
          <w:trHeight w:val="60"/>
        </w:trPr>
        <w:tc>
          <w:tcPr>
            <w:tcW w:w="5133" w:type="dxa"/>
            <w:gridSpan w:val="4"/>
            <w:shd w:val="clear" w:color="auto" w:fill="auto"/>
          </w:tcPr>
          <w:p w:rsidR="00F33637" w:rsidRPr="00D34362" w:rsidRDefault="00F33637" w:rsidP="007253CE">
            <w:pPr>
              <w:jc w:val="both"/>
              <w:rPr>
                <w:lang w:val="ro-RO"/>
              </w:rPr>
            </w:pPr>
            <w:r w:rsidRPr="00D34362">
              <w:rPr>
                <w:lang w:val="ro-RO"/>
              </w:rPr>
              <w:t xml:space="preserve">1.Informarea societăţii civile cu privire la </w:t>
            </w:r>
          </w:p>
          <w:p w:rsidR="00F33637" w:rsidRPr="00D34362" w:rsidRDefault="00F33637" w:rsidP="007253CE">
            <w:pPr>
              <w:jc w:val="both"/>
              <w:rPr>
                <w:lang w:val="ro-RO"/>
              </w:rPr>
            </w:pPr>
            <w:r w:rsidRPr="00D34362">
              <w:rPr>
                <w:lang w:val="ro-RO"/>
              </w:rPr>
              <w:t xml:space="preserve">necesitatea elaborării proiectului de act </w:t>
            </w:r>
          </w:p>
          <w:p w:rsidR="00F33637" w:rsidRPr="00D34362" w:rsidRDefault="00F33637" w:rsidP="007253CE">
            <w:pPr>
              <w:jc w:val="both"/>
              <w:rPr>
                <w:lang w:val="ro-RO"/>
              </w:rPr>
            </w:pPr>
            <w:r w:rsidRPr="00D34362">
              <w:rPr>
                <w:lang w:val="ro-RO"/>
              </w:rPr>
              <w:t xml:space="preserve">normativ </w:t>
            </w:r>
          </w:p>
        </w:tc>
        <w:tc>
          <w:tcPr>
            <w:tcW w:w="5322" w:type="dxa"/>
            <w:gridSpan w:val="5"/>
            <w:shd w:val="clear" w:color="auto" w:fill="auto"/>
          </w:tcPr>
          <w:p w:rsidR="00F33637" w:rsidRPr="00D34362" w:rsidRDefault="003339BD" w:rsidP="0035472C">
            <w:pPr>
              <w:autoSpaceDE w:val="0"/>
              <w:autoSpaceDN w:val="0"/>
              <w:adjustRightInd w:val="0"/>
              <w:jc w:val="both"/>
              <w:rPr>
                <w:lang w:val="ro-RO"/>
              </w:rPr>
            </w:pPr>
            <w:r w:rsidRPr="00D34362">
              <w:rPr>
                <w:lang w:val="ro-RO"/>
              </w:rPr>
              <w:t>În elaborarea proiectului a fost îndeplinită procedura stabilită prin Legea nr.52/2003 privind transparența decizională în administrația publică, republicată, prin afișarea pe site-ul ministerului.</w:t>
            </w:r>
          </w:p>
        </w:tc>
      </w:tr>
      <w:tr w:rsidR="00D34362" w:rsidRPr="00D34362">
        <w:trPr>
          <w:gridAfter w:val="2"/>
          <w:wAfter w:w="46" w:type="dxa"/>
          <w:trHeight w:val="60"/>
        </w:trPr>
        <w:tc>
          <w:tcPr>
            <w:tcW w:w="5133" w:type="dxa"/>
            <w:gridSpan w:val="4"/>
            <w:shd w:val="clear" w:color="auto" w:fill="auto"/>
          </w:tcPr>
          <w:p w:rsidR="00F33637" w:rsidRPr="00D34362" w:rsidRDefault="00F33637" w:rsidP="007253CE">
            <w:pPr>
              <w:jc w:val="both"/>
              <w:rPr>
                <w:lang w:val="ro-RO"/>
              </w:rPr>
            </w:pPr>
            <w:r w:rsidRPr="00D34362">
              <w:rPr>
                <w:lang w:val="ro-RO"/>
              </w:rPr>
              <w:t xml:space="preserve">2.Informarea societăţii civile cu privire la </w:t>
            </w:r>
          </w:p>
          <w:p w:rsidR="00F33637" w:rsidRPr="00D34362" w:rsidRDefault="00F33637" w:rsidP="007253CE">
            <w:pPr>
              <w:jc w:val="both"/>
              <w:rPr>
                <w:lang w:val="ro-RO"/>
              </w:rPr>
            </w:pPr>
            <w:r w:rsidRPr="00D34362">
              <w:rPr>
                <w:lang w:val="ro-RO"/>
              </w:rPr>
              <w:t xml:space="preserve">eventualul impact asupra mediului în urma </w:t>
            </w:r>
          </w:p>
          <w:p w:rsidR="00F33637" w:rsidRPr="00D34362" w:rsidRDefault="00F33637" w:rsidP="007253CE">
            <w:pPr>
              <w:jc w:val="both"/>
              <w:rPr>
                <w:lang w:val="ro-RO"/>
              </w:rPr>
            </w:pPr>
            <w:r w:rsidRPr="00D34362">
              <w:rPr>
                <w:lang w:val="ro-RO"/>
              </w:rPr>
              <w:t xml:space="preserve">implementării proiectului de act normativ, </w:t>
            </w:r>
          </w:p>
          <w:p w:rsidR="00F33637" w:rsidRPr="00D34362" w:rsidRDefault="00F33637" w:rsidP="007253CE">
            <w:pPr>
              <w:jc w:val="both"/>
              <w:rPr>
                <w:lang w:val="ro-RO"/>
              </w:rPr>
            </w:pPr>
            <w:r w:rsidRPr="00D34362">
              <w:rPr>
                <w:lang w:val="ro-RO"/>
              </w:rPr>
              <w:t xml:space="preserve">precum şi efectele asupra sănătăţii şi </w:t>
            </w:r>
          </w:p>
          <w:p w:rsidR="00F33637" w:rsidRPr="00D34362" w:rsidRDefault="00F33637" w:rsidP="007253CE">
            <w:pPr>
              <w:jc w:val="both"/>
              <w:rPr>
                <w:lang w:val="ro-RO"/>
              </w:rPr>
            </w:pPr>
            <w:r w:rsidRPr="00D34362">
              <w:rPr>
                <w:lang w:val="ro-RO"/>
              </w:rPr>
              <w:t xml:space="preserve">securităţii cetăţenilor sau diversităţii biologice </w:t>
            </w:r>
          </w:p>
        </w:tc>
        <w:tc>
          <w:tcPr>
            <w:tcW w:w="5322" w:type="dxa"/>
            <w:gridSpan w:val="5"/>
            <w:shd w:val="clear" w:color="auto" w:fill="auto"/>
          </w:tcPr>
          <w:p w:rsidR="00F33637" w:rsidRPr="00D34362" w:rsidRDefault="00F33637" w:rsidP="007253CE">
            <w:pPr>
              <w:jc w:val="both"/>
              <w:rPr>
                <w:lang w:val="ro-RO"/>
              </w:rPr>
            </w:pPr>
            <w:r w:rsidRPr="00D34362">
              <w:rPr>
                <w:lang w:val="ro-RO"/>
              </w:rPr>
              <w:t xml:space="preserve">Actul normativ nu produce nici un impact asupra acestui domeniu </w:t>
            </w:r>
          </w:p>
          <w:p w:rsidR="00F33637" w:rsidRPr="00D34362" w:rsidRDefault="00F33637" w:rsidP="007253CE">
            <w:pPr>
              <w:jc w:val="both"/>
              <w:rPr>
                <w:lang w:val="ro-RO"/>
              </w:rPr>
            </w:pPr>
          </w:p>
        </w:tc>
      </w:tr>
      <w:tr w:rsidR="00D34362" w:rsidRPr="00D34362" w:rsidTr="00697673">
        <w:trPr>
          <w:gridAfter w:val="2"/>
          <w:wAfter w:w="46" w:type="dxa"/>
          <w:trHeight w:val="368"/>
        </w:trPr>
        <w:tc>
          <w:tcPr>
            <w:tcW w:w="5133" w:type="dxa"/>
            <w:gridSpan w:val="4"/>
            <w:shd w:val="clear" w:color="auto" w:fill="auto"/>
          </w:tcPr>
          <w:p w:rsidR="00F33637" w:rsidRPr="00D34362" w:rsidRDefault="00F33637" w:rsidP="00697673">
            <w:pPr>
              <w:jc w:val="both"/>
              <w:rPr>
                <w:lang w:val="ro-RO"/>
              </w:rPr>
            </w:pPr>
            <w:r w:rsidRPr="00D34362">
              <w:rPr>
                <w:lang w:val="ro-RO"/>
              </w:rPr>
              <w:t xml:space="preserve">3. Alte informaţii  </w:t>
            </w:r>
          </w:p>
        </w:tc>
        <w:tc>
          <w:tcPr>
            <w:tcW w:w="5322" w:type="dxa"/>
            <w:gridSpan w:val="5"/>
            <w:shd w:val="clear" w:color="auto" w:fill="auto"/>
          </w:tcPr>
          <w:p w:rsidR="00190DF8" w:rsidRPr="00D34362" w:rsidRDefault="00F33637" w:rsidP="00697673">
            <w:pPr>
              <w:jc w:val="both"/>
              <w:rPr>
                <w:lang w:val="ro-RO"/>
              </w:rPr>
            </w:pPr>
            <w:r w:rsidRPr="00D34362">
              <w:rPr>
                <w:lang w:val="ro-RO"/>
              </w:rPr>
              <w:t xml:space="preserve">Nu au fost identificate </w:t>
            </w:r>
          </w:p>
        </w:tc>
      </w:tr>
      <w:tr w:rsidR="00D34362" w:rsidRPr="00D34362" w:rsidTr="00F24186">
        <w:trPr>
          <w:gridAfter w:val="2"/>
          <w:wAfter w:w="46" w:type="dxa"/>
          <w:trHeight w:val="60"/>
        </w:trPr>
        <w:tc>
          <w:tcPr>
            <w:tcW w:w="10455" w:type="dxa"/>
            <w:gridSpan w:val="9"/>
            <w:tcBorders>
              <w:bottom w:val="single" w:sz="4" w:space="0" w:color="auto"/>
            </w:tcBorders>
            <w:shd w:val="clear" w:color="auto" w:fill="auto"/>
          </w:tcPr>
          <w:p w:rsidR="00713D75" w:rsidRPr="00D34362" w:rsidRDefault="00F33637" w:rsidP="00713D75">
            <w:pPr>
              <w:jc w:val="both"/>
              <w:rPr>
                <w:b/>
                <w:lang w:val="ro-RO"/>
              </w:rPr>
            </w:pPr>
            <w:r w:rsidRPr="00D34362">
              <w:rPr>
                <w:b/>
                <w:lang w:val="ro-RO"/>
              </w:rPr>
              <w:t>Secţiunea a 8-a: Măsuri de implementare</w:t>
            </w:r>
          </w:p>
        </w:tc>
      </w:tr>
      <w:tr w:rsidR="00D34362" w:rsidRPr="00D34362" w:rsidTr="00697673">
        <w:trPr>
          <w:gridAfter w:val="2"/>
          <w:wAfter w:w="46" w:type="dxa"/>
          <w:trHeight w:val="1403"/>
        </w:trPr>
        <w:tc>
          <w:tcPr>
            <w:tcW w:w="5133" w:type="dxa"/>
            <w:gridSpan w:val="4"/>
            <w:tcBorders>
              <w:top w:val="single" w:sz="4" w:space="0" w:color="auto"/>
              <w:left w:val="single" w:sz="4" w:space="0" w:color="auto"/>
              <w:bottom w:val="single" w:sz="4" w:space="0" w:color="auto"/>
              <w:right w:val="single" w:sz="4" w:space="0" w:color="auto"/>
            </w:tcBorders>
            <w:shd w:val="clear" w:color="auto" w:fill="auto"/>
          </w:tcPr>
          <w:p w:rsidR="00F33637" w:rsidRPr="00D34362" w:rsidRDefault="00F33637" w:rsidP="00E560F0">
            <w:pPr>
              <w:jc w:val="both"/>
              <w:rPr>
                <w:lang w:val="ro-RO"/>
              </w:rPr>
            </w:pPr>
            <w:r w:rsidRPr="00D34362">
              <w:rPr>
                <w:lang w:val="ro-RO"/>
              </w:rPr>
              <w:t xml:space="preserve">1. Măsurile de punere în aplicare a proiectului de act normativ de către autorităţile administraţiei publice centrale </w:t>
            </w:r>
          </w:p>
          <w:p w:rsidR="00F33637" w:rsidRPr="00D34362" w:rsidRDefault="00F33637" w:rsidP="00EA6777">
            <w:pPr>
              <w:jc w:val="both"/>
              <w:rPr>
                <w:lang w:val="ro-RO"/>
              </w:rPr>
            </w:pPr>
            <w:r w:rsidRPr="00D34362">
              <w:rPr>
                <w:lang w:val="ro-RO"/>
              </w:rPr>
              <w:t xml:space="preserve">şi/sau locale – înfiinţarea unor noi organisme sau extinderea competenţelor instituţiilor existente </w:t>
            </w:r>
          </w:p>
        </w:tc>
        <w:tc>
          <w:tcPr>
            <w:tcW w:w="5322" w:type="dxa"/>
            <w:gridSpan w:val="5"/>
            <w:tcBorders>
              <w:top w:val="single" w:sz="4" w:space="0" w:color="auto"/>
              <w:left w:val="single" w:sz="4" w:space="0" w:color="auto"/>
              <w:bottom w:val="single" w:sz="4" w:space="0" w:color="auto"/>
              <w:right w:val="single" w:sz="4" w:space="0" w:color="auto"/>
            </w:tcBorders>
            <w:shd w:val="clear" w:color="auto" w:fill="auto"/>
          </w:tcPr>
          <w:p w:rsidR="001E6D2A" w:rsidRPr="00D34362" w:rsidRDefault="001E6D2A" w:rsidP="001E6D2A">
            <w:pPr>
              <w:jc w:val="both"/>
              <w:rPr>
                <w:lang w:val="ro-RO"/>
              </w:rPr>
            </w:pPr>
            <w:r w:rsidRPr="00D34362">
              <w:rPr>
                <w:lang w:val="ro-RO"/>
              </w:rPr>
              <w:t>Actul normativ nu se referă la acest subiect.</w:t>
            </w:r>
          </w:p>
          <w:p w:rsidR="00F33637" w:rsidRPr="00D34362" w:rsidRDefault="00F33637" w:rsidP="00F073C9">
            <w:pPr>
              <w:autoSpaceDE w:val="0"/>
              <w:autoSpaceDN w:val="0"/>
              <w:adjustRightInd w:val="0"/>
              <w:jc w:val="both"/>
              <w:rPr>
                <w:lang w:val="ro-RO"/>
              </w:rPr>
            </w:pPr>
          </w:p>
        </w:tc>
      </w:tr>
      <w:tr w:rsidR="00D34362" w:rsidRPr="00D34362" w:rsidTr="00D34362">
        <w:trPr>
          <w:gridAfter w:val="2"/>
          <w:wAfter w:w="46" w:type="dxa"/>
          <w:trHeight w:val="278"/>
        </w:trPr>
        <w:tc>
          <w:tcPr>
            <w:tcW w:w="5133" w:type="dxa"/>
            <w:gridSpan w:val="4"/>
            <w:tcBorders>
              <w:top w:val="single" w:sz="4" w:space="0" w:color="auto"/>
              <w:left w:val="single" w:sz="4" w:space="0" w:color="auto"/>
              <w:bottom w:val="single" w:sz="4" w:space="0" w:color="auto"/>
              <w:right w:val="single" w:sz="4" w:space="0" w:color="auto"/>
            </w:tcBorders>
            <w:shd w:val="clear" w:color="auto" w:fill="auto"/>
          </w:tcPr>
          <w:p w:rsidR="00DD64ED" w:rsidRPr="00D34362" w:rsidRDefault="00DD64ED" w:rsidP="00E560F0">
            <w:pPr>
              <w:jc w:val="both"/>
              <w:rPr>
                <w:lang w:val="ro-RO"/>
              </w:rPr>
            </w:pPr>
            <w:r w:rsidRPr="00D34362">
              <w:rPr>
                <w:lang w:val="ro-RO"/>
              </w:rPr>
              <w:t xml:space="preserve">2. Alte informaţii  </w:t>
            </w:r>
          </w:p>
        </w:tc>
        <w:tc>
          <w:tcPr>
            <w:tcW w:w="5322" w:type="dxa"/>
            <w:gridSpan w:val="5"/>
            <w:tcBorders>
              <w:top w:val="single" w:sz="4" w:space="0" w:color="auto"/>
              <w:left w:val="single" w:sz="4" w:space="0" w:color="auto"/>
              <w:bottom w:val="single" w:sz="4" w:space="0" w:color="auto"/>
              <w:right w:val="single" w:sz="4" w:space="0" w:color="auto"/>
            </w:tcBorders>
            <w:shd w:val="clear" w:color="auto" w:fill="auto"/>
          </w:tcPr>
          <w:p w:rsidR="00DD64ED" w:rsidRPr="00D34362" w:rsidRDefault="00DD64ED" w:rsidP="001E6D2A">
            <w:pPr>
              <w:jc w:val="both"/>
              <w:rPr>
                <w:lang w:val="ro-RO"/>
              </w:rPr>
            </w:pPr>
            <w:r w:rsidRPr="00D34362">
              <w:rPr>
                <w:lang w:val="ro-RO"/>
              </w:rPr>
              <w:t>Nu au fost identificate</w:t>
            </w:r>
          </w:p>
        </w:tc>
      </w:tr>
    </w:tbl>
    <w:p w:rsidR="0010584F" w:rsidRPr="00D34362" w:rsidRDefault="0010584F" w:rsidP="006B7164">
      <w:pPr>
        <w:tabs>
          <w:tab w:val="left" w:pos="-720"/>
        </w:tabs>
        <w:autoSpaceDE w:val="0"/>
        <w:autoSpaceDN w:val="0"/>
        <w:adjustRightInd w:val="0"/>
        <w:ind w:left="-720" w:right="-1080"/>
        <w:jc w:val="both"/>
        <w:rPr>
          <w:lang w:val="ro-RO"/>
        </w:rPr>
      </w:pPr>
    </w:p>
    <w:p w:rsidR="00D34362" w:rsidRDefault="00D34362" w:rsidP="006B7164">
      <w:pPr>
        <w:tabs>
          <w:tab w:val="left" w:pos="-720"/>
        </w:tabs>
        <w:autoSpaceDE w:val="0"/>
        <w:autoSpaceDN w:val="0"/>
        <w:adjustRightInd w:val="0"/>
        <w:ind w:left="-720" w:right="-1080"/>
        <w:jc w:val="both"/>
        <w:rPr>
          <w:lang w:val="ro-RO"/>
        </w:rPr>
      </w:pPr>
    </w:p>
    <w:p w:rsidR="0010584F" w:rsidRPr="00D34362" w:rsidRDefault="0010584F" w:rsidP="006B7164">
      <w:pPr>
        <w:tabs>
          <w:tab w:val="left" w:pos="-720"/>
        </w:tabs>
        <w:autoSpaceDE w:val="0"/>
        <w:autoSpaceDN w:val="0"/>
        <w:adjustRightInd w:val="0"/>
        <w:ind w:left="-720" w:right="-1080"/>
        <w:jc w:val="both"/>
        <w:rPr>
          <w:lang w:val="ro-RO"/>
        </w:rPr>
      </w:pPr>
      <w:r w:rsidRPr="00D34362">
        <w:rPr>
          <w:lang w:val="ro-RO"/>
        </w:rPr>
        <w:t>Faţă de cele prezentate, a fost elaborat prezentul proiect de Hotărâre a Guvernului privind organizarea şi funcţionarea Ministerului Fondurilor Europene, pe care îl supunem Guvernului spre adoptare.</w:t>
      </w:r>
    </w:p>
    <w:p w:rsidR="0010584F" w:rsidRPr="00D34362" w:rsidRDefault="0010584F" w:rsidP="006B7164">
      <w:pPr>
        <w:tabs>
          <w:tab w:val="left" w:pos="-720"/>
        </w:tabs>
        <w:autoSpaceDE w:val="0"/>
        <w:autoSpaceDN w:val="0"/>
        <w:adjustRightInd w:val="0"/>
        <w:ind w:left="-720" w:right="-1080"/>
        <w:jc w:val="both"/>
        <w:rPr>
          <w:lang w:val="ro-RO"/>
        </w:rPr>
      </w:pPr>
    </w:p>
    <w:p w:rsidR="00AC2E89" w:rsidRPr="00D34362" w:rsidRDefault="00AC2E89" w:rsidP="00690F71">
      <w:pPr>
        <w:ind w:left="-720" w:right="-720"/>
        <w:jc w:val="both"/>
        <w:rPr>
          <w:b/>
          <w:lang w:val="ro-RO"/>
        </w:rPr>
      </w:pPr>
    </w:p>
    <w:p w:rsidR="00A179A3" w:rsidRPr="00D34362" w:rsidRDefault="00AB67AC" w:rsidP="00AB67AC">
      <w:pPr>
        <w:spacing w:line="360" w:lineRule="auto"/>
        <w:jc w:val="center"/>
        <w:rPr>
          <w:b/>
          <w:lang w:val="ro-RO"/>
        </w:rPr>
      </w:pPr>
      <w:r w:rsidRPr="00D34362">
        <w:rPr>
          <w:b/>
          <w:lang w:val="ro-RO"/>
        </w:rPr>
        <w:t>Ministrul fondurilor europene</w:t>
      </w:r>
    </w:p>
    <w:p w:rsidR="00AB67AC" w:rsidRPr="00D34362" w:rsidRDefault="00E25C80" w:rsidP="00AB67AC">
      <w:pPr>
        <w:spacing w:line="360" w:lineRule="auto"/>
        <w:jc w:val="center"/>
        <w:rPr>
          <w:b/>
          <w:lang w:val="ro-RO"/>
        </w:rPr>
      </w:pPr>
      <w:r w:rsidRPr="00D34362">
        <w:rPr>
          <w:b/>
          <w:lang w:val="ro-RO"/>
        </w:rPr>
        <w:t>ROVANA PLUMB</w:t>
      </w:r>
    </w:p>
    <w:p w:rsidR="00D34362" w:rsidRPr="00D34362" w:rsidRDefault="00D34362" w:rsidP="00AB67AC">
      <w:pPr>
        <w:spacing w:line="360" w:lineRule="auto"/>
        <w:jc w:val="center"/>
        <w:rPr>
          <w:b/>
          <w:lang w:val="ro-RO"/>
        </w:rPr>
      </w:pPr>
    </w:p>
    <w:p w:rsidR="00D34362" w:rsidRPr="00D34362" w:rsidRDefault="00D34362" w:rsidP="00D34362">
      <w:pPr>
        <w:spacing w:line="360" w:lineRule="auto"/>
        <w:jc w:val="center"/>
        <w:rPr>
          <w:b/>
          <w:lang w:val="ro-RO"/>
        </w:rPr>
      </w:pPr>
      <w:r w:rsidRPr="00D34362">
        <w:rPr>
          <w:b/>
          <w:lang w:val="ro-RO"/>
        </w:rPr>
        <w:t>Avizam favorabil:</w:t>
      </w:r>
    </w:p>
    <w:p w:rsidR="00D34362" w:rsidRPr="00D34362" w:rsidRDefault="00D34362" w:rsidP="00D34362">
      <w:pPr>
        <w:spacing w:line="360" w:lineRule="auto"/>
        <w:jc w:val="center"/>
        <w:rPr>
          <w:b/>
          <w:lang w:val="ro-RO"/>
        </w:rPr>
      </w:pPr>
    </w:p>
    <w:p w:rsidR="00D34362" w:rsidRPr="00D34362" w:rsidRDefault="00D34362" w:rsidP="00D34362">
      <w:pPr>
        <w:spacing w:line="360" w:lineRule="auto"/>
        <w:jc w:val="center"/>
        <w:rPr>
          <w:b/>
          <w:lang w:val="ro-RO"/>
        </w:rPr>
      </w:pPr>
      <w:r w:rsidRPr="00D34362">
        <w:rPr>
          <w:b/>
          <w:lang w:val="ro-RO"/>
        </w:rPr>
        <w:t>Viceprim ministru</w:t>
      </w:r>
    </w:p>
    <w:p w:rsidR="00D34362" w:rsidRPr="00D34362" w:rsidRDefault="00D34362" w:rsidP="00D34362">
      <w:pPr>
        <w:spacing w:line="360" w:lineRule="auto"/>
        <w:jc w:val="center"/>
        <w:rPr>
          <w:b/>
          <w:lang w:val="ro-RO"/>
        </w:rPr>
      </w:pPr>
      <w:r w:rsidRPr="00D34362">
        <w:rPr>
          <w:b/>
          <w:lang w:val="ro-RO"/>
        </w:rPr>
        <w:t>Ministrul dezvoltării regionale și administrației publice</w:t>
      </w:r>
    </w:p>
    <w:p w:rsidR="00D34362" w:rsidRPr="00D34362" w:rsidRDefault="00D34362" w:rsidP="00D34362">
      <w:pPr>
        <w:spacing w:line="360" w:lineRule="auto"/>
        <w:jc w:val="center"/>
        <w:rPr>
          <w:b/>
          <w:lang w:val="ro-RO"/>
        </w:rPr>
      </w:pPr>
      <w:r w:rsidRPr="00D34362">
        <w:rPr>
          <w:b/>
          <w:lang w:val="ro-RO"/>
        </w:rPr>
        <w:t>PAUL STĂNESCU</w:t>
      </w:r>
    </w:p>
    <w:p w:rsidR="00D34362" w:rsidRPr="00D34362" w:rsidRDefault="00D34362" w:rsidP="00D34362">
      <w:pPr>
        <w:spacing w:line="360" w:lineRule="auto"/>
        <w:jc w:val="center"/>
        <w:rPr>
          <w:b/>
          <w:lang w:val="ro-RO"/>
        </w:rPr>
      </w:pPr>
    </w:p>
    <w:tbl>
      <w:tblPr>
        <w:tblStyle w:val="TableGrid"/>
        <w:tblW w:w="0" w:type="auto"/>
        <w:tblLook w:val="04A0" w:firstRow="1" w:lastRow="0" w:firstColumn="1" w:lastColumn="0" w:noHBand="0" w:noVBand="1"/>
      </w:tblPr>
      <w:tblGrid>
        <w:gridCol w:w="4315"/>
        <w:gridCol w:w="4315"/>
      </w:tblGrid>
      <w:tr w:rsidR="00D34362" w:rsidRPr="00D34362" w:rsidTr="003474AD">
        <w:tc>
          <w:tcPr>
            <w:tcW w:w="4315" w:type="dxa"/>
            <w:tcBorders>
              <w:top w:val="nil"/>
              <w:left w:val="nil"/>
              <w:bottom w:val="nil"/>
              <w:right w:val="nil"/>
            </w:tcBorders>
          </w:tcPr>
          <w:p w:rsidR="00D34362" w:rsidRPr="00D34362" w:rsidRDefault="00D34362" w:rsidP="003474AD">
            <w:pPr>
              <w:jc w:val="center"/>
              <w:rPr>
                <w:b/>
                <w:bCs/>
                <w:i/>
                <w:u w:val="single"/>
                <w:lang w:eastAsia="ro-RO"/>
              </w:rPr>
            </w:pPr>
          </w:p>
          <w:p w:rsidR="00D34362" w:rsidRPr="00D34362" w:rsidRDefault="00D34362" w:rsidP="003474AD">
            <w:pPr>
              <w:jc w:val="center"/>
              <w:rPr>
                <w:b/>
                <w:bCs/>
                <w:lang w:eastAsia="ro-RO"/>
              </w:rPr>
            </w:pPr>
            <w:r w:rsidRPr="00D34362">
              <w:rPr>
                <w:b/>
                <w:bCs/>
                <w:lang w:eastAsia="ro-RO"/>
              </w:rPr>
              <w:t>Ministrul muncii și justiției sociale,</w:t>
            </w:r>
          </w:p>
          <w:p w:rsidR="00D34362" w:rsidRPr="00D34362" w:rsidRDefault="00D34362" w:rsidP="003474AD">
            <w:pPr>
              <w:jc w:val="center"/>
              <w:rPr>
                <w:b/>
                <w:bCs/>
                <w:lang w:eastAsia="ro-RO"/>
              </w:rPr>
            </w:pPr>
          </w:p>
          <w:p w:rsidR="00D34362" w:rsidRPr="00D34362" w:rsidRDefault="00D34362" w:rsidP="003474AD">
            <w:pPr>
              <w:jc w:val="center"/>
              <w:rPr>
                <w:b/>
                <w:bCs/>
                <w:lang w:eastAsia="ro-RO"/>
              </w:rPr>
            </w:pPr>
            <w:r w:rsidRPr="00D34362">
              <w:rPr>
                <w:b/>
                <w:bCs/>
                <w:lang w:eastAsia="ro-RO"/>
              </w:rPr>
              <w:t>LIA – OLGUȚA VASILESCU</w:t>
            </w:r>
          </w:p>
        </w:tc>
        <w:tc>
          <w:tcPr>
            <w:tcW w:w="4315" w:type="dxa"/>
            <w:tcBorders>
              <w:top w:val="nil"/>
              <w:left w:val="nil"/>
              <w:bottom w:val="nil"/>
              <w:right w:val="nil"/>
            </w:tcBorders>
          </w:tcPr>
          <w:p w:rsidR="00D34362" w:rsidRPr="00D34362" w:rsidRDefault="00D34362" w:rsidP="003474AD">
            <w:pPr>
              <w:rPr>
                <w:b/>
                <w:bCs/>
                <w:i/>
                <w:u w:val="single"/>
                <w:lang w:eastAsia="ro-RO"/>
              </w:rPr>
            </w:pPr>
          </w:p>
          <w:p w:rsidR="00D34362" w:rsidRPr="00D34362" w:rsidRDefault="00D34362" w:rsidP="003474AD">
            <w:pPr>
              <w:jc w:val="center"/>
              <w:rPr>
                <w:b/>
                <w:bCs/>
                <w:lang w:eastAsia="ro-RO"/>
              </w:rPr>
            </w:pPr>
            <w:r w:rsidRPr="00D34362">
              <w:rPr>
                <w:b/>
                <w:bCs/>
                <w:lang w:eastAsia="ro-RO"/>
              </w:rPr>
              <w:t>Ministrul finanțelor publice</w:t>
            </w:r>
          </w:p>
          <w:p w:rsidR="00D34362" w:rsidRPr="00D34362" w:rsidRDefault="00D34362" w:rsidP="003474AD">
            <w:pPr>
              <w:jc w:val="center"/>
              <w:rPr>
                <w:b/>
                <w:bCs/>
                <w:lang w:eastAsia="ro-RO"/>
              </w:rPr>
            </w:pPr>
          </w:p>
          <w:p w:rsidR="00D34362" w:rsidRPr="00D34362" w:rsidRDefault="00D34362" w:rsidP="003474AD">
            <w:pPr>
              <w:jc w:val="center"/>
              <w:rPr>
                <w:b/>
                <w:bCs/>
                <w:lang w:eastAsia="ro-RO"/>
              </w:rPr>
            </w:pPr>
            <w:r w:rsidRPr="00D34362">
              <w:rPr>
                <w:b/>
                <w:bCs/>
                <w:lang w:eastAsia="ro-RO"/>
              </w:rPr>
              <w:t>EUGEN ORLANDO TEODOROVICI</w:t>
            </w:r>
          </w:p>
          <w:p w:rsidR="00D34362" w:rsidRPr="00D34362" w:rsidRDefault="00D34362" w:rsidP="003474AD">
            <w:pPr>
              <w:rPr>
                <w:b/>
                <w:bCs/>
                <w:lang w:eastAsia="ro-RO"/>
              </w:rPr>
            </w:pPr>
          </w:p>
          <w:p w:rsidR="00D34362" w:rsidRPr="00D34362" w:rsidRDefault="00D34362" w:rsidP="003474AD">
            <w:pPr>
              <w:jc w:val="both"/>
              <w:rPr>
                <w:b/>
                <w:bCs/>
                <w:lang w:eastAsia="ro-RO"/>
              </w:rPr>
            </w:pPr>
          </w:p>
        </w:tc>
      </w:tr>
      <w:tr w:rsidR="00D34362" w:rsidRPr="00D34362" w:rsidTr="003474AD">
        <w:tc>
          <w:tcPr>
            <w:tcW w:w="4315" w:type="dxa"/>
            <w:tcBorders>
              <w:top w:val="nil"/>
              <w:left w:val="nil"/>
              <w:bottom w:val="nil"/>
              <w:right w:val="nil"/>
            </w:tcBorders>
          </w:tcPr>
          <w:p w:rsidR="00D34362" w:rsidRPr="00D34362" w:rsidRDefault="00D34362" w:rsidP="003474AD">
            <w:pPr>
              <w:rPr>
                <w:b/>
                <w:bCs/>
                <w:lang w:eastAsia="ro-RO"/>
              </w:rPr>
            </w:pPr>
          </w:p>
          <w:p w:rsidR="00D34362" w:rsidRPr="00D34362" w:rsidRDefault="00D34362" w:rsidP="003474AD">
            <w:pPr>
              <w:jc w:val="center"/>
              <w:rPr>
                <w:b/>
                <w:bCs/>
                <w:lang w:eastAsia="ro-RO"/>
              </w:rPr>
            </w:pPr>
            <w:r w:rsidRPr="00D34362">
              <w:rPr>
                <w:b/>
                <w:bCs/>
                <w:lang w:eastAsia="ro-RO"/>
              </w:rPr>
              <w:t xml:space="preserve">Președintele </w:t>
            </w:r>
          </w:p>
          <w:p w:rsidR="00D34362" w:rsidRPr="00D34362" w:rsidRDefault="00D34362" w:rsidP="003474AD">
            <w:pPr>
              <w:jc w:val="center"/>
              <w:rPr>
                <w:b/>
                <w:bCs/>
                <w:lang w:eastAsia="ro-RO"/>
              </w:rPr>
            </w:pPr>
            <w:r w:rsidRPr="00D34362">
              <w:rPr>
                <w:b/>
                <w:bCs/>
                <w:lang w:eastAsia="ro-RO"/>
              </w:rPr>
              <w:t>Agenției Naționale a Funcționarilor Publici</w:t>
            </w:r>
          </w:p>
          <w:p w:rsidR="00D34362" w:rsidRPr="00D34362" w:rsidRDefault="00D34362" w:rsidP="003474AD">
            <w:pPr>
              <w:jc w:val="center"/>
              <w:rPr>
                <w:b/>
                <w:bCs/>
                <w:lang w:eastAsia="ro-RO"/>
              </w:rPr>
            </w:pPr>
          </w:p>
          <w:p w:rsidR="00D34362" w:rsidRPr="00D34362" w:rsidRDefault="00D34362" w:rsidP="003474AD">
            <w:pPr>
              <w:jc w:val="center"/>
              <w:rPr>
                <w:b/>
                <w:bCs/>
                <w:lang w:eastAsia="ro-RO"/>
              </w:rPr>
            </w:pPr>
            <w:r w:rsidRPr="00D34362">
              <w:rPr>
                <w:b/>
              </w:rPr>
              <w:t>LEONID-AUGUSTIN MOISIU</w:t>
            </w:r>
          </w:p>
          <w:p w:rsidR="00D34362" w:rsidRPr="00D34362" w:rsidRDefault="00D34362" w:rsidP="003474AD">
            <w:pPr>
              <w:jc w:val="center"/>
              <w:rPr>
                <w:b/>
                <w:bCs/>
                <w:lang w:eastAsia="ro-RO"/>
              </w:rPr>
            </w:pPr>
          </w:p>
        </w:tc>
        <w:tc>
          <w:tcPr>
            <w:tcW w:w="4315" w:type="dxa"/>
            <w:tcBorders>
              <w:top w:val="nil"/>
              <w:left w:val="nil"/>
              <w:bottom w:val="nil"/>
              <w:right w:val="nil"/>
            </w:tcBorders>
          </w:tcPr>
          <w:p w:rsidR="00D34362" w:rsidRPr="00D34362" w:rsidRDefault="00D34362" w:rsidP="003474AD">
            <w:pPr>
              <w:jc w:val="center"/>
              <w:rPr>
                <w:b/>
                <w:bCs/>
                <w:lang w:eastAsia="ro-RO"/>
              </w:rPr>
            </w:pPr>
          </w:p>
          <w:p w:rsidR="00D34362" w:rsidRPr="00D34362" w:rsidRDefault="00D34362" w:rsidP="003474AD">
            <w:pPr>
              <w:rPr>
                <w:b/>
                <w:bCs/>
                <w:lang w:eastAsia="ro-RO"/>
              </w:rPr>
            </w:pPr>
          </w:p>
          <w:p w:rsidR="00D34362" w:rsidRPr="00D34362" w:rsidRDefault="00D34362" w:rsidP="003474AD">
            <w:pPr>
              <w:jc w:val="center"/>
              <w:rPr>
                <w:b/>
                <w:bCs/>
                <w:lang w:eastAsia="ro-RO"/>
              </w:rPr>
            </w:pPr>
            <w:r w:rsidRPr="00D34362">
              <w:rPr>
                <w:b/>
                <w:bCs/>
                <w:lang w:eastAsia="ro-RO"/>
              </w:rPr>
              <w:t xml:space="preserve">Ministrul justiției </w:t>
            </w:r>
          </w:p>
          <w:p w:rsidR="00D34362" w:rsidRPr="00D34362" w:rsidRDefault="00D34362" w:rsidP="003474AD">
            <w:pPr>
              <w:jc w:val="center"/>
              <w:rPr>
                <w:b/>
                <w:bCs/>
                <w:lang w:eastAsia="ro-RO"/>
              </w:rPr>
            </w:pPr>
          </w:p>
          <w:p w:rsidR="00D34362" w:rsidRPr="00D34362" w:rsidRDefault="00D34362" w:rsidP="003474AD">
            <w:pPr>
              <w:jc w:val="center"/>
              <w:rPr>
                <w:b/>
                <w:bCs/>
                <w:lang w:eastAsia="ro-RO"/>
              </w:rPr>
            </w:pPr>
          </w:p>
          <w:p w:rsidR="00D34362" w:rsidRPr="00D34362" w:rsidRDefault="00D34362" w:rsidP="003474AD">
            <w:pPr>
              <w:jc w:val="center"/>
              <w:rPr>
                <w:b/>
                <w:bCs/>
                <w:lang w:eastAsia="ro-RO"/>
              </w:rPr>
            </w:pPr>
            <w:r w:rsidRPr="00D34362">
              <w:rPr>
                <w:b/>
                <w:bCs/>
                <w:lang w:eastAsia="ro-RO"/>
              </w:rPr>
              <w:t>TUDOREL TOADER</w:t>
            </w:r>
          </w:p>
          <w:p w:rsidR="00D34362" w:rsidRPr="00D34362" w:rsidRDefault="00D34362" w:rsidP="003474AD">
            <w:pPr>
              <w:jc w:val="center"/>
              <w:rPr>
                <w:b/>
                <w:bCs/>
                <w:i/>
                <w:u w:val="single"/>
                <w:lang w:eastAsia="ro-RO"/>
              </w:rPr>
            </w:pPr>
          </w:p>
        </w:tc>
      </w:tr>
    </w:tbl>
    <w:p w:rsidR="00D34362" w:rsidRPr="00D34362" w:rsidRDefault="00D34362" w:rsidP="00AB67AC">
      <w:pPr>
        <w:spacing w:line="360" w:lineRule="auto"/>
        <w:jc w:val="center"/>
        <w:rPr>
          <w:b/>
          <w:lang w:val="ro-RO"/>
        </w:rPr>
      </w:pPr>
    </w:p>
    <w:sectPr w:rsidR="00D34362" w:rsidRPr="00D34362" w:rsidSect="00DD3B49">
      <w:footerReference w:type="even" r:id="rId8"/>
      <w:footerReference w:type="default" r:id="rId9"/>
      <w:pgSz w:w="12240" w:h="15840"/>
      <w:pgMar w:top="1260" w:right="1800" w:bottom="1260" w:left="1800" w:header="720" w:footer="11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010" w:rsidRDefault="00626010" w:rsidP="00735ABB">
      <w:r>
        <w:separator/>
      </w:r>
    </w:p>
  </w:endnote>
  <w:endnote w:type="continuationSeparator" w:id="0">
    <w:p w:rsidR="00626010" w:rsidRDefault="00626010" w:rsidP="0073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834" w:rsidRDefault="00BF6834" w:rsidP="00560E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6834" w:rsidRDefault="00BF6834" w:rsidP="006723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FAF" w:rsidRDefault="00A86FAF">
    <w:pPr>
      <w:pStyle w:val="Footer"/>
      <w:jc w:val="right"/>
    </w:pPr>
  </w:p>
  <w:p w:rsidR="00BF6834" w:rsidRDefault="00BF68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010" w:rsidRDefault="00626010" w:rsidP="00735ABB">
      <w:r>
        <w:separator/>
      </w:r>
    </w:p>
  </w:footnote>
  <w:footnote w:type="continuationSeparator" w:id="0">
    <w:p w:rsidR="00626010" w:rsidRDefault="00626010" w:rsidP="00735A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766D"/>
    <w:multiLevelType w:val="hybridMultilevel"/>
    <w:tmpl w:val="7C08CC2C"/>
    <w:name w:val="WW8Num4"/>
    <w:lvl w:ilvl="0" w:tplc="B29C9BAC">
      <w:start w:val="1"/>
      <w:numFmt w:val="decimal"/>
      <w:lvlText w:val="%1."/>
      <w:lvlJc w:val="left"/>
      <w:pPr>
        <w:tabs>
          <w:tab w:val="num" w:pos="720"/>
        </w:tabs>
        <w:ind w:left="720" w:hanging="360"/>
      </w:pPr>
      <w:rPr>
        <w:rFonts w:hint="default"/>
      </w:rPr>
    </w:lvl>
    <w:lvl w:ilvl="1" w:tplc="BFC8FE90">
      <w:start w:val="1"/>
      <w:numFmt w:val="bullet"/>
      <w:lvlText w:val=""/>
      <w:lvlJc w:val="left"/>
      <w:pPr>
        <w:tabs>
          <w:tab w:val="num" w:pos="1440"/>
        </w:tabs>
        <w:ind w:left="1440" w:hanging="360"/>
      </w:pPr>
      <w:rPr>
        <w:rFonts w:ascii="Symbol" w:hAnsi="Symbol" w:hint="default"/>
      </w:rPr>
    </w:lvl>
    <w:lvl w:ilvl="2" w:tplc="A4FE4A48">
      <w:start w:val="1"/>
      <w:numFmt w:val="bullet"/>
      <w:lvlText w:val=""/>
      <w:lvlJc w:val="left"/>
      <w:pPr>
        <w:tabs>
          <w:tab w:val="num" w:pos="2412"/>
        </w:tabs>
        <w:ind w:left="2412" w:hanging="360"/>
      </w:pPr>
      <w:rPr>
        <w:rFonts w:ascii="Symbol" w:hAnsi="Symbol" w:hint="default"/>
      </w:rPr>
    </w:lvl>
    <w:lvl w:ilvl="3" w:tplc="FE64F11A" w:tentative="1">
      <w:start w:val="1"/>
      <w:numFmt w:val="decimal"/>
      <w:lvlText w:val="%4."/>
      <w:lvlJc w:val="left"/>
      <w:pPr>
        <w:tabs>
          <w:tab w:val="num" w:pos="2880"/>
        </w:tabs>
        <w:ind w:left="2880" w:hanging="360"/>
      </w:pPr>
    </w:lvl>
    <w:lvl w:ilvl="4" w:tplc="F280D2FE" w:tentative="1">
      <w:start w:val="1"/>
      <w:numFmt w:val="lowerLetter"/>
      <w:lvlText w:val="%5."/>
      <w:lvlJc w:val="left"/>
      <w:pPr>
        <w:tabs>
          <w:tab w:val="num" w:pos="3600"/>
        </w:tabs>
        <w:ind w:left="3600" w:hanging="360"/>
      </w:pPr>
    </w:lvl>
    <w:lvl w:ilvl="5" w:tplc="F8F42ED4" w:tentative="1">
      <w:start w:val="1"/>
      <w:numFmt w:val="lowerRoman"/>
      <w:lvlText w:val="%6."/>
      <w:lvlJc w:val="right"/>
      <w:pPr>
        <w:tabs>
          <w:tab w:val="num" w:pos="4320"/>
        </w:tabs>
        <w:ind w:left="4320" w:hanging="180"/>
      </w:pPr>
    </w:lvl>
    <w:lvl w:ilvl="6" w:tplc="E20EB2CC" w:tentative="1">
      <w:start w:val="1"/>
      <w:numFmt w:val="decimal"/>
      <w:lvlText w:val="%7."/>
      <w:lvlJc w:val="left"/>
      <w:pPr>
        <w:tabs>
          <w:tab w:val="num" w:pos="5040"/>
        </w:tabs>
        <w:ind w:left="5040" w:hanging="360"/>
      </w:pPr>
    </w:lvl>
    <w:lvl w:ilvl="7" w:tplc="B14AE60C" w:tentative="1">
      <w:start w:val="1"/>
      <w:numFmt w:val="lowerLetter"/>
      <w:lvlText w:val="%8."/>
      <w:lvlJc w:val="left"/>
      <w:pPr>
        <w:tabs>
          <w:tab w:val="num" w:pos="5760"/>
        </w:tabs>
        <w:ind w:left="5760" w:hanging="360"/>
      </w:pPr>
    </w:lvl>
    <w:lvl w:ilvl="8" w:tplc="EDB4D666" w:tentative="1">
      <w:start w:val="1"/>
      <w:numFmt w:val="lowerRoman"/>
      <w:lvlText w:val="%9."/>
      <w:lvlJc w:val="right"/>
      <w:pPr>
        <w:tabs>
          <w:tab w:val="num" w:pos="6480"/>
        </w:tabs>
        <w:ind w:left="6480" w:hanging="180"/>
      </w:pPr>
    </w:lvl>
  </w:abstractNum>
  <w:abstractNum w:abstractNumId="1" w15:restartNumberingAfterBreak="0">
    <w:nsid w:val="02D555A5"/>
    <w:multiLevelType w:val="hybridMultilevel"/>
    <w:tmpl w:val="9A9E4A8C"/>
    <w:lvl w:ilvl="0" w:tplc="0409000F">
      <w:numFmt w:val="bullet"/>
      <w:lvlText w:val="-"/>
      <w:lvlJc w:val="left"/>
      <w:pPr>
        <w:ind w:left="720" w:hanging="360"/>
      </w:pPr>
      <w:rPr>
        <w:rFonts w:ascii="Times New Roman" w:eastAsia="Calibri" w:hAnsi="Times New Roman" w:cs="Times New Roman" w:hint="default"/>
      </w:rPr>
    </w:lvl>
    <w:lvl w:ilvl="1" w:tplc="04090001" w:tentative="1">
      <w:start w:val="1"/>
      <w:numFmt w:val="bullet"/>
      <w:lvlText w:val="o"/>
      <w:lvlJc w:val="left"/>
      <w:pPr>
        <w:ind w:left="1440" w:hanging="360"/>
      </w:pPr>
      <w:rPr>
        <w:rFonts w:ascii="Courier New" w:hAnsi="Courier New" w:cs="Courier New" w:hint="default"/>
      </w:rPr>
    </w:lvl>
    <w:lvl w:ilvl="2" w:tplc="04090001"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 w15:restartNumberingAfterBreak="0">
    <w:nsid w:val="04084F0E"/>
    <w:multiLevelType w:val="hybridMultilevel"/>
    <w:tmpl w:val="2A1C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A0C04"/>
    <w:multiLevelType w:val="hybridMultilevel"/>
    <w:tmpl w:val="626087E4"/>
    <w:lvl w:ilvl="0" w:tplc="828EE9A2">
      <w:start w:val="2"/>
      <w:numFmt w:val="bullet"/>
      <w:lvlText w:val="-"/>
      <w:lvlJc w:val="left"/>
      <w:pPr>
        <w:ind w:left="1440" w:hanging="360"/>
      </w:pPr>
      <w:rPr>
        <w:rFonts w:ascii="Times New Roman" w:eastAsia="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EB35BD"/>
    <w:multiLevelType w:val="hybridMultilevel"/>
    <w:tmpl w:val="C762AAA6"/>
    <w:lvl w:ilvl="0" w:tplc="D9AE9A0E">
      <w:start w:val="5"/>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E0C98"/>
    <w:multiLevelType w:val="hybridMultilevel"/>
    <w:tmpl w:val="DE889C28"/>
    <w:lvl w:ilvl="0" w:tplc="8CD43962">
      <w:start w:val="2"/>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3E43C0"/>
    <w:multiLevelType w:val="multilevel"/>
    <w:tmpl w:val="DE889C28"/>
    <w:lvl w:ilvl="0">
      <w:start w:val="2"/>
      <w:numFmt w:val="bullet"/>
      <w:lvlText w:val="-"/>
      <w:lvlJc w:val="left"/>
      <w:pPr>
        <w:tabs>
          <w:tab w:val="num" w:pos="720"/>
        </w:tabs>
        <w:ind w:left="720" w:hanging="360"/>
      </w:pPr>
      <w:rPr>
        <w:rFonts w:ascii="Calibri" w:eastAsia="Times New Roman" w:hAnsi="Calibri"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B4719B"/>
    <w:multiLevelType w:val="hybridMultilevel"/>
    <w:tmpl w:val="05D41958"/>
    <w:lvl w:ilvl="0" w:tplc="5BDEB86E">
      <w:start w:val="2"/>
      <w:numFmt w:val="bullet"/>
      <w:lvlText w:val="-"/>
      <w:lvlJc w:val="left"/>
      <w:pPr>
        <w:ind w:left="252" w:hanging="360"/>
      </w:pPr>
      <w:rPr>
        <w:rFonts w:ascii="Times New Roman" w:eastAsia="Times New Roman" w:hAnsi="Times New Roman" w:cs="Times New Roman" w:hint="default"/>
      </w:rPr>
    </w:lvl>
    <w:lvl w:ilvl="1" w:tplc="04180003" w:tentative="1">
      <w:start w:val="1"/>
      <w:numFmt w:val="bullet"/>
      <w:lvlText w:val="o"/>
      <w:lvlJc w:val="left"/>
      <w:pPr>
        <w:ind w:left="972" w:hanging="360"/>
      </w:pPr>
      <w:rPr>
        <w:rFonts w:ascii="Courier New" w:hAnsi="Courier New" w:cs="Courier New" w:hint="default"/>
      </w:rPr>
    </w:lvl>
    <w:lvl w:ilvl="2" w:tplc="04180005" w:tentative="1">
      <w:start w:val="1"/>
      <w:numFmt w:val="bullet"/>
      <w:lvlText w:val=""/>
      <w:lvlJc w:val="left"/>
      <w:pPr>
        <w:ind w:left="1692" w:hanging="360"/>
      </w:pPr>
      <w:rPr>
        <w:rFonts w:ascii="Wingdings" w:hAnsi="Wingdings" w:hint="default"/>
      </w:rPr>
    </w:lvl>
    <w:lvl w:ilvl="3" w:tplc="04180001" w:tentative="1">
      <w:start w:val="1"/>
      <w:numFmt w:val="bullet"/>
      <w:lvlText w:val=""/>
      <w:lvlJc w:val="left"/>
      <w:pPr>
        <w:ind w:left="2412" w:hanging="360"/>
      </w:pPr>
      <w:rPr>
        <w:rFonts w:ascii="Symbol" w:hAnsi="Symbol" w:hint="default"/>
      </w:rPr>
    </w:lvl>
    <w:lvl w:ilvl="4" w:tplc="04180003" w:tentative="1">
      <w:start w:val="1"/>
      <w:numFmt w:val="bullet"/>
      <w:lvlText w:val="o"/>
      <w:lvlJc w:val="left"/>
      <w:pPr>
        <w:ind w:left="3132" w:hanging="360"/>
      </w:pPr>
      <w:rPr>
        <w:rFonts w:ascii="Courier New" w:hAnsi="Courier New" w:cs="Courier New" w:hint="default"/>
      </w:rPr>
    </w:lvl>
    <w:lvl w:ilvl="5" w:tplc="04180005" w:tentative="1">
      <w:start w:val="1"/>
      <w:numFmt w:val="bullet"/>
      <w:lvlText w:val=""/>
      <w:lvlJc w:val="left"/>
      <w:pPr>
        <w:ind w:left="3852" w:hanging="360"/>
      </w:pPr>
      <w:rPr>
        <w:rFonts w:ascii="Wingdings" w:hAnsi="Wingdings" w:hint="default"/>
      </w:rPr>
    </w:lvl>
    <w:lvl w:ilvl="6" w:tplc="04180001" w:tentative="1">
      <w:start w:val="1"/>
      <w:numFmt w:val="bullet"/>
      <w:lvlText w:val=""/>
      <w:lvlJc w:val="left"/>
      <w:pPr>
        <w:ind w:left="4572" w:hanging="360"/>
      </w:pPr>
      <w:rPr>
        <w:rFonts w:ascii="Symbol" w:hAnsi="Symbol" w:hint="default"/>
      </w:rPr>
    </w:lvl>
    <w:lvl w:ilvl="7" w:tplc="04180003" w:tentative="1">
      <w:start w:val="1"/>
      <w:numFmt w:val="bullet"/>
      <w:lvlText w:val="o"/>
      <w:lvlJc w:val="left"/>
      <w:pPr>
        <w:ind w:left="5292" w:hanging="360"/>
      </w:pPr>
      <w:rPr>
        <w:rFonts w:ascii="Courier New" w:hAnsi="Courier New" w:cs="Courier New" w:hint="default"/>
      </w:rPr>
    </w:lvl>
    <w:lvl w:ilvl="8" w:tplc="04180005" w:tentative="1">
      <w:start w:val="1"/>
      <w:numFmt w:val="bullet"/>
      <w:lvlText w:val=""/>
      <w:lvlJc w:val="left"/>
      <w:pPr>
        <w:ind w:left="6012" w:hanging="360"/>
      </w:pPr>
      <w:rPr>
        <w:rFonts w:ascii="Wingdings" w:hAnsi="Wingdings" w:hint="default"/>
      </w:rPr>
    </w:lvl>
  </w:abstractNum>
  <w:abstractNum w:abstractNumId="8" w15:restartNumberingAfterBreak="0">
    <w:nsid w:val="19191B28"/>
    <w:multiLevelType w:val="hybridMultilevel"/>
    <w:tmpl w:val="785CBC84"/>
    <w:lvl w:ilvl="0" w:tplc="56D6B190">
      <w:start w:val="2"/>
      <w:numFmt w:val="bullet"/>
      <w:lvlText w:val="-"/>
      <w:lvlJc w:val="left"/>
      <w:pPr>
        <w:ind w:left="420" w:hanging="360"/>
      </w:pPr>
      <w:rPr>
        <w:rFonts w:ascii="Calibri" w:eastAsia="Times New Roman" w:hAnsi="Calibri" w:cs="Times New Roman" w:hint="default"/>
      </w:rPr>
    </w:lvl>
    <w:lvl w:ilvl="1" w:tplc="5FDCD2A6" w:tentative="1">
      <w:start w:val="1"/>
      <w:numFmt w:val="bullet"/>
      <w:lvlText w:val="o"/>
      <w:lvlJc w:val="left"/>
      <w:pPr>
        <w:ind w:left="1140" w:hanging="360"/>
      </w:pPr>
      <w:rPr>
        <w:rFonts w:ascii="Courier New" w:hAnsi="Courier New" w:cs="Courier New" w:hint="default"/>
      </w:rPr>
    </w:lvl>
    <w:lvl w:ilvl="2" w:tplc="A96C2370" w:tentative="1">
      <w:start w:val="1"/>
      <w:numFmt w:val="bullet"/>
      <w:lvlText w:val=""/>
      <w:lvlJc w:val="left"/>
      <w:pPr>
        <w:ind w:left="1860" w:hanging="360"/>
      </w:pPr>
      <w:rPr>
        <w:rFonts w:ascii="Wingdings" w:hAnsi="Wingdings" w:hint="default"/>
      </w:rPr>
    </w:lvl>
    <w:lvl w:ilvl="3" w:tplc="D8C817D6" w:tentative="1">
      <w:start w:val="1"/>
      <w:numFmt w:val="bullet"/>
      <w:lvlText w:val=""/>
      <w:lvlJc w:val="left"/>
      <w:pPr>
        <w:ind w:left="2580" w:hanging="360"/>
      </w:pPr>
      <w:rPr>
        <w:rFonts w:ascii="Symbol" w:hAnsi="Symbol" w:hint="default"/>
      </w:rPr>
    </w:lvl>
    <w:lvl w:ilvl="4" w:tplc="F628E3C0" w:tentative="1">
      <w:start w:val="1"/>
      <w:numFmt w:val="bullet"/>
      <w:lvlText w:val="o"/>
      <w:lvlJc w:val="left"/>
      <w:pPr>
        <w:ind w:left="3300" w:hanging="360"/>
      </w:pPr>
      <w:rPr>
        <w:rFonts w:ascii="Courier New" w:hAnsi="Courier New" w:cs="Courier New" w:hint="default"/>
      </w:rPr>
    </w:lvl>
    <w:lvl w:ilvl="5" w:tplc="D494DD48" w:tentative="1">
      <w:start w:val="1"/>
      <w:numFmt w:val="bullet"/>
      <w:lvlText w:val=""/>
      <w:lvlJc w:val="left"/>
      <w:pPr>
        <w:ind w:left="4020" w:hanging="360"/>
      </w:pPr>
      <w:rPr>
        <w:rFonts w:ascii="Wingdings" w:hAnsi="Wingdings" w:hint="default"/>
      </w:rPr>
    </w:lvl>
    <w:lvl w:ilvl="6" w:tplc="BC0CC522" w:tentative="1">
      <w:start w:val="1"/>
      <w:numFmt w:val="bullet"/>
      <w:lvlText w:val=""/>
      <w:lvlJc w:val="left"/>
      <w:pPr>
        <w:ind w:left="4740" w:hanging="360"/>
      </w:pPr>
      <w:rPr>
        <w:rFonts w:ascii="Symbol" w:hAnsi="Symbol" w:hint="default"/>
      </w:rPr>
    </w:lvl>
    <w:lvl w:ilvl="7" w:tplc="2DACA11A" w:tentative="1">
      <w:start w:val="1"/>
      <w:numFmt w:val="bullet"/>
      <w:lvlText w:val="o"/>
      <w:lvlJc w:val="left"/>
      <w:pPr>
        <w:ind w:left="5460" w:hanging="360"/>
      </w:pPr>
      <w:rPr>
        <w:rFonts w:ascii="Courier New" w:hAnsi="Courier New" w:cs="Courier New" w:hint="default"/>
      </w:rPr>
    </w:lvl>
    <w:lvl w:ilvl="8" w:tplc="DB96A9C4" w:tentative="1">
      <w:start w:val="1"/>
      <w:numFmt w:val="bullet"/>
      <w:lvlText w:val=""/>
      <w:lvlJc w:val="left"/>
      <w:pPr>
        <w:ind w:left="6180" w:hanging="360"/>
      </w:pPr>
      <w:rPr>
        <w:rFonts w:ascii="Wingdings" w:hAnsi="Wingdings" w:hint="default"/>
      </w:rPr>
    </w:lvl>
  </w:abstractNum>
  <w:abstractNum w:abstractNumId="9" w15:restartNumberingAfterBreak="0">
    <w:nsid w:val="19F57DBF"/>
    <w:multiLevelType w:val="hybridMultilevel"/>
    <w:tmpl w:val="96DE29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262A9"/>
    <w:multiLevelType w:val="hybridMultilevel"/>
    <w:tmpl w:val="791235EA"/>
    <w:lvl w:ilvl="0" w:tplc="0418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E5A5F"/>
    <w:multiLevelType w:val="hybridMultilevel"/>
    <w:tmpl w:val="9530CA52"/>
    <w:lvl w:ilvl="0" w:tplc="828EE9A2">
      <w:start w:val="2"/>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3C75CE"/>
    <w:multiLevelType w:val="hybridMultilevel"/>
    <w:tmpl w:val="5928D9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E421C1A"/>
    <w:multiLevelType w:val="hybridMultilevel"/>
    <w:tmpl w:val="B1CA0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E37457"/>
    <w:multiLevelType w:val="hybridMultilevel"/>
    <w:tmpl w:val="795E9DF0"/>
    <w:lvl w:ilvl="0" w:tplc="9ED8523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5557A0"/>
    <w:multiLevelType w:val="hybridMultilevel"/>
    <w:tmpl w:val="CB1C9C4A"/>
    <w:lvl w:ilvl="0" w:tplc="B576EB04">
      <w:start w:val="1"/>
      <w:numFmt w:val="decimal"/>
      <w:lvlText w:val="%1."/>
      <w:lvlJc w:val="left"/>
      <w:pPr>
        <w:tabs>
          <w:tab w:val="num" w:pos="720"/>
        </w:tabs>
        <w:ind w:left="720" w:hanging="360"/>
      </w:pPr>
      <w:rPr>
        <w:rFonts w:hint="default"/>
        <w:b w:val="0"/>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8844C2"/>
    <w:multiLevelType w:val="hybridMultilevel"/>
    <w:tmpl w:val="1416FC40"/>
    <w:lvl w:ilvl="0" w:tplc="C0F0480C">
      <w:start w:val="1"/>
      <w:numFmt w:val="bullet"/>
      <w:lvlText w:val=""/>
      <w:lvlJc w:val="left"/>
      <w:pPr>
        <w:ind w:left="2116" w:hanging="360"/>
      </w:pPr>
      <w:rPr>
        <w:rFonts w:ascii="Wingdings" w:hAnsi="Wingdings" w:hint="default"/>
        <w:lang w:val="ro-RO"/>
      </w:rPr>
    </w:lvl>
    <w:lvl w:ilvl="1" w:tplc="04090003" w:tentative="1">
      <w:start w:val="1"/>
      <w:numFmt w:val="bullet"/>
      <w:lvlText w:val="o"/>
      <w:lvlJc w:val="left"/>
      <w:pPr>
        <w:ind w:left="2836" w:hanging="360"/>
      </w:pPr>
      <w:rPr>
        <w:rFonts w:ascii="Courier New" w:hAnsi="Courier New" w:cs="Courier New" w:hint="default"/>
      </w:rPr>
    </w:lvl>
    <w:lvl w:ilvl="2" w:tplc="04090005" w:tentative="1">
      <w:start w:val="1"/>
      <w:numFmt w:val="bullet"/>
      <w:lvlText w:val=""/>
      <w:lvlJc w:val="left"/>
      <w:pPr>
        <w:ind w:left="3556" w:hanging="360"/>
      </w:pPr>
      <w:rPr>
        <w:rFonts w:ascii="Wingdings" w:hAnsi="Wingdings" w:hint="default"/>
      </w:rPr>
    </w:lvl>
    <w:lvl w:ilvl="3" w:tplc="04090001" w:tentative="1">
      <w:start w:val="1"/>
      <w:numFmt w:val="bullet"/>
      <w:lvlText w:val=""/>
      <w:lvlJc w:val="left"/>
      <w:pPr>
        <w:ind w:left="4276" w:hanging="360"/>
      </w:pPr>
      <w:rPr>
        <w:rFonts w:ascii="Symbol" w:hAnsi="Symbol" w:hint="default"/>
      </w:rPr>
    </w:lvl>
    <w:lvl w:ilvl="4" w:tplc="04090003" w:tentative="1">
      <w:start w:val="1"/>
      <w:numFmt w:val="bullet"/>
      <w:lvlText w:val="o"/>
      <w:lvlJc w:val="left"/>
      <w:pPr>
        <w:ind w:left="4996" w:hanging="360"/>
      </w:pPr>
      <w:rPr>
        <w:rFonts w:ascii="Courier New" w:hAnsi="Courier New" w:cs="Courier New" w:hint="default"/>
      </w:rPr>
    </w:lvl>
    <w:lvl w:ilvl="5" w:tplc="04090005" w:tentative="1">
      <w:start w:val="1"/>
      <w:numFmt w:val="bullet"/>
      <w:lvlText w:val=""/>
      <w:lvlJc w:val="left"/>
      <w:pPr>
        <w:ind w:left="5716" w:hanging="360"/>
      </w:pPr>
      <w:rPr>
        <w:rFonts w:ascii="Wingdings" w:hAnsi="Wingdings" w:hint="default"/>
      </w:rPr>
    </w:lvl>
    <w:lvl w:ilvl="6" w:tplc="04090001" w:tentative="1">
      <w:start w:val="1"/>
      <w:numFmt w:val="bullet"/>
      <w:lvlText w:val=""/>
      <w:lvlJc w:val="left"/>
      <w:pPr>
        <w:ind w:left="6436" w:hanging="360"/>
      </w:pPr>
      <w:rPr>
        <w:rFonts w:ascii="Symbol" w:hAnsi="Symbol" w:hint="default"/>
      </w:rPr>
    </w:lvl>
    <w:lvl w:ilvl="7" w:tplc="04090003" w:tentative="1">
      <w:start w:val="1"/>
      <w:numFmt w:val="bullet"/>
      <w:lvlText w:val="o"/>
      <w:lvlJc w:val="left"/>
      <w:pPr>
        <w:ind w:left="7156" w:hanging="360"/>
      </w:pPr>
      <w:rPr>
        <w:rFonts w:ascii="Courier New" w:hAnsi="Courier New" w:cs="Courier New" w:hint="default"/>
      </w:rPr>
    </w:lvl>
    <w:lvl w:ilvl="8" w:tplc="04090005" w:tentative="1">
      <w:start w:val="1"/>
      <w:numFmt w:val="bullet"/>
      <w:lvlText w:val=""/>
      <w:lvlJc w:val="left"/>
      <w:pPr>
        <w:ind w:left="7876" w:hanging="360"/>
      </w:pPr>
      <w:rPr>
        <w:rFonts w:ascii="Wingdings" w:hAnsi="Wingdings" w:hint="default"/>
      </w:rPr>
    </w:lvl>
  </w:abstractNum>
  <w:abstractNum w:abstractNumId="17" w15:restartNumberingAfterBreak="0">
    <w:nsid w:val="52652FD6"/>
    <w:multiLevelType w:val="hybridMultilevel"/>
    <w:tmpl w:val="D37E13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0632EA"/>
    <w:multiLevelType w:val="multilevel"/>
    <w:tmpl w:val="CF441DA8"/>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9330A9"/>
    <w:multiLevelType w:val="hybridMultilevel"/>
    <w:tmpl w:val="EDD46F10"/>
    <w:lvl w:ilvl="0" w:tplc="DA707E08">
      <w:start w:val="1"/>
      <w:numFmt w:val="lowerLetter"/>
      <w:lvlText w:val="%1)"/>
      <w:lvlJc w:val="left"/>
      <w:pPr>
        <w:ind w:left="720" w:hanging="360"/>
      </w:pPr>
    </w:lvl>
    <w:lvl w:ilvl="1" w:tplc="79CE57CA" w:tentative="1">
      <w:start w:val="1"/>
      <w:numFmt w:val="lowerLetter"/>
      <w:lvlText w:val="%2."/>
      <w:lvlJc w:val="left"/>
      <w:pPr>
        <w:ind w:left="1440" w:hanging="360"/>
      </w:pPr>
    </w:lvl>
    <w:lvl w:ilvl="2" w:tplc="4AD42B22" w:tentative="1">
      <w:start w:val="1"/>
      <w:numFmt w:val="lowerRoman"/>
      <w:lvlText w:val="%3."/>
      <w:lvlJc w:val="right"/>
      <w:pPr>
        <w:ind w:left="2160" w:hanging="180"/>
      </w:pPr>
    </w:lvl>
    <w:lvl w:ilvl="3" w:tplc="3580F848" w:tentative="1">
      <w:start w:val="1"/>
      <w:numFmt w:val="decimal"/>
      <w:lvlText w:val="%4."/>
      <w:lvlJc w:val="left"/>
      <w:pPr>
        <w:ind w:left="2880" w:hanging="360"/>
      </w:pPr>
    </w:lvl>
    <w:lvl w:ilvl="4" w:tplc="94D8B6AE" w:tentative="1">
      <w:start w:val="1"/>
      <w:numFmt w:val="lowerLetter"/>
      <w:lvlText w:val="%5."/>
      <w:lvlJc w:val="left"/>
      <w:pPr>
        <w:ind w:left="3600" w:hanging="360"/>
      </w:pPr>
    </w:lvl>
    <w:lvl w:ilvl="5" w:tplc="A4969C6A" w:tentative="1">
      <w:start w:val="1"/>
      <w:numFmt w:val="lowerRoman"/>
      <w:lvlText w:val="%6."/>
      <w:lvlJc w:val="right"/>
      <w:pPr>
        <w:ind w:left="4320" w:hanging="180"/>
      </w:pPr>
    </w:lvl>
    <w:lvl w:ilvl="6" w:tplc="3A0EB24E" w:tentative="1">
      <w:start w:val="1"/>
      <w:numFmt w:val="decimal"/>
      <w:lvlText w:val="%7."/>
      <w:lvlJc w:val="left"/>
      <w:pPr>
        <w:ind w:left="5040" w:hanging="360"/>
      </w:pPr>
    </w:lvl>
    <w:lvl w:ilvl="7" w:tplc="0576ED46" w:tentative="1">
      <w:start w:val="1"/>
      <w:numFmt w:val="lowerLetter"/>
      <w:lvlText w:val="%8."/>
      <w:lvlJc w:val="left"/>
      <w:pPr>
        <w:ind w:left="5760" w:hanging="360"/>
      </w:pPr>
    </w:lvl>
    <w:lvl w:ilvl="8" w:tplc="1DD61AB8" w:tentative="1">
      <w:start w:val="1"/>
      <w:numFmt w:val="lowerRoman"/>
      <w:lvlText w:val="%9."/>
      <w:lvlJc w:val="right"/>
      <w:pPr>
        <w:ind w:left="6480" w:hanging="180"/>
      </w:pPr>
    </w:lvl>
  </w:abstractNum>
  <w:abstractNum w:abstractNumId="20" w15:restartNumberingAfterBreak="0">
    <w:nsid w:val="5BA92881"/>
    <w:multiLevelType w:val="hybridMultilevel"/>
    <w:tmpl w:val="2BBE6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31F5664"/>
    <w:multiLevelType w:val="hybridMultilevel"/>
    <w:tmpl w:val="4A24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D23983"/>
    <w:multiLevelType w:val="hybridMultilevel"/>
    <w:tmpl w:val="64349D82"/>
    <w:lvl w:ilvl="0" w:tplc="04090017">
      <w:start w:val="1"/>
      <w:numFmt w:val="bullet"/>
      <w:lvlText w:val=""/>
      <w:lvlJc w:val="left"/>
      <w:pPr>
        <w:ind w:left="785" w:hanging="360"/>
      </w:pPr>
      <w:rPr>
        <w:rFonts w:ascii="Symbol" w:hAnsi="Symbol" w:hint="default"/>
      </w:rPr>
    </w:lvl>
    <w:lvl w:ilvl="1" w:tplc="04180019" w:tentative="1">
      <w:start w:val="1"/>
      <w:numFmt w:val="bullet"/>
      <w:lvlText w:val="o"/>
      <w:lvlJc w:val="left"/>
      <w:pPr>
        <w:ind w:left="1505" w:hanging="360"/>
      </w:pPr>
      <w:rPr>
        <w:rFonts w:ascii="Courier New" w:hAnsi="Courier New" w:cs="Courier New" w:hint="default"/>
      </w:rPr>
    </w:lvl>
    <w:lvl w:ilvl="2" w:tplc="0418001B" w:tentative="1">
      <w:start w:val="1"/>
      <w:numFmt w:val="bullet"/>
      <w:lvlText w:val=""/>
      <w:lvlJc w:val="left"/>
      <w:pPr>
        <w:ind w:left="2225" w:hanging="360"/>
      </w:pPr>
      <w:rPr>
        <w:rFonts w:ascii="Wingdings" w:hAnsi="Wingdings" w:hint="default"/>
      </w:rPr>
    </w:lvl>
    <w:lvl w:ilvl="3" w:tplc="0418000F" w:tentative="1">
      <w:start w:val="1"/>
      <w:numFmt w:val="bullet"/>
      <w:lvlText w:val=""/>
      <w:lvlJc w:val="left"/>
      <w:pPr>
        <w:ind w:left="2945" w:hanging="360"/>
      </w:pPr>
      <w:rPr>
        <w:rFonts w:ascii="Symbol" w:hAnsi="Symbol" w:hint="default"/>
      </w:rPr>
    </w:lvl>
    <w:lvl w:ilvl="4" w:tplc="04180019" w:tentative="1">
      <w:start w:val="1"/>
      <w:numFmt w:val="bullet"/>
      <w:lvlText w:val="o"/>
      <w:lvlJc w:val="left"/>
      <w:pPr>
        <w:ind w:left="3665" w:hanging="360"/>
      </w:pPr>
      <w:rPr>
        <w:rFonts w:ascii="Courier New" w:hAnsi="Courier New" w:cs="Courier New" w:hint="default"/>
      </w:rPr>
    </w:lvl>
    <w:lvl w:ilvl="5" w:tplc="0418001B" w:tentative="1">
      <w:start w:val="1"/>
      <w:numFmt w:val="bullet"/>
      <w:lvlText w:val=""/>
      <w:lvlJc w:val="left"/>
      <w:pPr>
        <w:ind w:left="4385" w:hanging="360"/>
      </w:pPr>
      <w:rPr>
        <w:rFonts w:ascii="Wingdings" w:hAnsi="Wingdings" w:hint="default"/>
      </w:rPr>
    </w:lvl>
    <w:lvl w:ilvl="6" w:tplc="0418000F" w:tentative="1">
      <w:start w:val="1"/>
      <w:numFmt w:val="bullet"/>
      <w:lvlText w:val=""/>
      <w:lvlJc w:val="left"/>
      <w:pPr>
        <w:ind w:left="5105" w:hanging="360"/>
      </w:pPr>
      <w:rPr>
        <w:rFonts w:ascii="Symbol" w:hAnsi="Symbol" w:hint="default"/>
      </w:rPr>
    </w:lvl>
    <w:lvl w:ilvl="7" w:tplc="04180019" w:tentative="1">
      <w:start w:val="1"/>
      <w:numFmt w:val="bullet"/>
      <w:lvlText w:val="o"/>
      <w:lvlJc w:val="left"/>
      <w:pPr>
        <w:ind w:left="5825" w:hanging="360"/>
      </w:pPr>
      <w:rPr>
        <w:rFonts w:ascii="Courier New" w:hAnsi="Courier New" w:cs="Courier New" w:hint="default"/>
      </w:rPr>
    </w:lvl>
    <w:lvl w:ilvl="8" w:tplc="0418001B" w:tentative="1">
      <w:start w:val="1"/>
      <w:numFmt w:val="bullet"/>
      <w:lvlText w:val=""/>
      <w:lvlJc w:val="left"/>
      <w:pPr>
        <w:ind w:left="6545" w:hanging="360"/>
      </w:pPr>
      <w:rPr>
        <w:rFonts w:ascii="Wingdings" w:hAnsi="Wingdings" w:hint="default"/>
      </w:rPr>
    </w:lvl>
  </w:abstractNum>
  <w:abstractNum w:abstractNumId="23" w15:restartNumberingAfterBreak="0">
    <w:nsid w:val="68C93AAE"/>
    <w:multiLevelType w:val="hybridMultilevel"/>
    <w:tmpl w:val="D346E0F2"/>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BF079C"/>
    <w:multiLevelType w:val="hybridMultilevel"/>
    <w:tmpl w:val="6FA80122"/>
    <w:lvl w:ilvl="0" w:tplc="04090001">
      <w:start w:val="1"/>
      <w:numFmt w:val="decimal"/>
      <w:lvlText w:val="%1."/>
      <w:lvlJc w:val="left"/>
      <w:pPr>
        <w:ind w:left="360" w:hanging="360"/>
      </w:pPr>
      <w:rPr>
        <w:rFonts w:hint="default"/>
        <w:b/>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5" w15:restartNumberingAfterBreak="0">
    <w:nsid w:val="6A116B1E"/>
    <w:multiLevelType w:val="hybridMultilevel"/>
    <w:tmpl w:val="61020E6A"/>
    <w:lvl w:ilvl="0" w:tplc="1A767C0C">
      <w:start w:val="1"/>
      <w:numFmt w:val="decimal"/>
      <w:lvlText w:val="%1."/>
      <w:lvlJc w:val="left"/>
      <w:pPr>
        <w:tabs>
          <w:tab w:val="num" w:pos="720"/>
        </w:tabs>
        <w:ind w:left="720" w:hanging="360"/>
      </w:pPr>
      <w:rPr>
        <w:rFonts w:hint="default"/>
      </w:rPr>
    </w:lvl>
    <w:lvl w:ilvl="1" w:tplc="04090019">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0"/>
      <w:numFmt w:val="bullet"/>
      <w:lvlText w:val="-"/>
      <w:lvlJc w:val="left"/>
      <w:pPr>
        <w:tabs>
          <w:tab w:val="num" w:pos="2340"/>
        </w:tabs>
        <w:ind w:left="2340" w:hanging="360"/>
      </w:pPr>
      <w:rPr>
        <w:rFonts w:ascii="Times New Roman" w:eastAsia="Times New Roman" w:hAnsi="Times New Roman" w:cs="Times New Roman" w:hint="default"/>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DF324D"/>
    <w:multiLevelType w:val="hybridMultilevel"/>
    <w:tmpl w:val="2320F098"/>
    <w:lvl w:ilvl="0" w:tplc="0409000F">
      <w:start w:val="1"/>
      <w:numFmt w:val="lowerLetter"/>
      <w:lvlText w:val="%1."/>
      <w:lvlJc w:val="left"/>
      <w:pPr>
        <w:tabs>
          <w:tab w:val="num" w:pos="720"/>
        </w:tabs>
        <w:ind w:left="720" w:hanging="360"/>
      </w:pPr>
      <w:rPr>
        <w:rFonts w:hint="default"/>
      </w:rPr>
    </w:lvl>
    <w:lvl w:ilvl="1" w:tplc="500A280C" w:tentative="1">
      <w:start w:val="1"/>
      <w:numFmt w:val="lowerLetter"/>
      <w:lvlText w:val="%2."/>
      <w:lvlJc w:val="left"/>
      <w:pPr>
        <w:tabs>
          <w:tab w:val="num" w:pos="1440"/>
        </w:tabs>
        <w:ind w:left="1440" w:hanging="360"/>
      </w:pPr>
    </w:lvl>
    <w:lvl w:ilvl="2" w:tplc="BD3C259A"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572B0C"/>
    <w:multiLevelType w:val="hybridMultilevel"/>
    <w:tmpl w:val="66C88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E61609"/>
    <w:multiLevelType w:val="hybridMultilevel"/>
    <w:tmpl w:val="F1E80746"/>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24"/>
  </w:num>
  <w:num w:numId="4">
    <w:abstractNumId w:val="0"/>
  </w:num>
  <w:num w:numId="5">
    <w:abstractNumId w:val="25"/>
  </w:num>
  <w:num w:numId="6">
    <w:abstractNumId w:val="19"/>
  </w:num>
  <w:num w:numId="7">
    <w:abstractNumId w:val="8"/>
  </w:num>
  <w:num w:numId="8">
    <w:abstractNumId w:val="23"/>
  </w:num>
  <w:num w:numId="9">
    <w:abstractNumId w:val="5"/>
  </w:num>
  <w:num w:numId="10">
    <w:abstractNumId w:val="6"/>
  </w:num>
  <w:num w:numId="11">
    <w:abstractNumId w:val="15"/>
  </w:num>
  <w:num w:numId="12">
    <w:abstractNumId w:val="18"/>
  </w:num>
  <w:num w:numId="13">
    <w:abstractNumId w:val="14"/>
  </w:num>
  <w:num w:numId="14">
    <w:abstractNumId w:val="1"/>
  </w:num>
  <w:num w:numId="15">
    <w:abstractNumId w:val="22"/>
  </w:num>
  <w:num w:numId="16">
    <w:abstractNumId w:val="16"/>
  </w:num>
  <w:num w:numId="17">
    <w:abstractNumId w:val="13"/>
  </w:num>
  <w:num w:numId="18">
    <w:abstractNumId w:val="27"/>
  </w:num>
  <w:num w:numId="19">
    <w:abstractNumId w:val="9"/>
  </w:num>
  <w:num w:numId="20">
    <w:abstractNumId w:val="11"/>
  </w:num>
  <w:num w:numId="21">
    <w:abstractNumId w:val="2"/>
  </w:num>
  <w:num w:numId="22">
    <w:abstractNumId w:val="21"/>
  </w:num>
  <w:num w:numId="23">
    <w:abstractNumId w:val="10"/>
  </w:num>
  <w:num w:numId="24">
    <w:abstractNumId w:val="28"/>
  </w:num>
  <w:num w:numId="25">
    <w:abstractNumId w:val="20"/>
  </w:num>
  <w:num w:numId="26">
    <w:abstractNumId w:val="17"/>
  </w:num>
  <w:num w:numId="27">
    <w:abstractNumId w:val="3"/>
  </w:num>
  <w:num w:numId="28">
    <w:abstractNumId w:val="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F66"/>
    <w:rsid w:val="00005BB2"/>
    <w:rsid w:val="00011700"/>
    <w:rsid w:val="00014DB1"/>
    <w:rsid w:val="00020768"/>
    <w:rsid w:val="000245E1"/>
    <w:rsid w:val="00042619"/>
    <w:rsid w:val="00045D1D"/>
    <w:rsid w:val="00051A1F"/>
    <w:rsid w:val="000602C3"/>
    <w:rsid w:val="00063809"/>
    <w:rsid w:val="00063B8F"/>
    <w:rsid w:val="000649D7"/>
    <w:rsid w:val="0007149C"/>
    <w:rsid w:val="00080331"/>
    <w:rsid w:val="00082B66"/>
    <w:rsid w:val="000901EB"/>
    <w:rsid w:val="00097630"/>
    <w:rsid w:val="000A0512"/>
    <w:rsid w:val="000A0919"/>
    <w:rsid w:val="000B11D0"/>
    <w:rsid w:val="000B4052"/>
    <w:rsid w:val="000B7D45"/>
    <w:rsid w:val="000C6FF9"/>
    <w:rsid w:val="000D1DD0"/>
    <w:rsid w:val="000F19FA"/>
    <w:rsid w:val="000F52ED"/>
    <w:rsid w:val="000F6774"/>
    <w:rsid w:val="00103B4C"/>
    <w:rsid w:val="0010584F"/>
    <w:rsid w:val="00106D61"/>
    <w:rsid w:val="00107F48"/>
    <w:rsid w:val="00112E90"/>
    <w:rsid w:val="00127177"/>
    <w:rsid w:val="00130D4B"/>
    <w:rsid w:val="00130ED4"/>
    <w:rsid w:val="0013282B"/>
    <w:rsid w:val="00132B58"/>
    <w:rsid w:val="00135873"/>
    <w:rsid w:val="001375AB"/>
    <w:rsid w:val="00141EB4"/>
    <w:rsid w:val="00142B26"/>
    <w:rsid w:val="00155555"/>
    <w:rsid w:val="00155C38"/>
    <w:rsid w:val="001619ED"/>
    <w:rsid w:val="001652DB"/>
    <w:rsid w:val="00170FCE"/>
    <w:rsid w:val="00181870"/>
    <w:rsid w:val="00182DC1"/>
    <w:rsid w:val="00190DF8"/>
    <w:rsid w:val="00191B23"/>
    <w:rsid w:val="0019501F"/>
    <w:rsid w:val="001954A9"/>
    <w:rsid w:val="001963CD"/>
    <w:rsid w:val="001967DC"/>
    <w:rsid w:val="00197E5C"/>
    <w:rsid w:val="001A251A"/>
    <w:rsid w:val="001A2574"/>
    <w:rsid w:val="001B1810"/>
    <w:rsid w:val="001C4964"/>
    <w:rsid w:val="001C6173"/>
    <w:rsid w:val="001C6F0B"/>
    <w:rsid w:val="001C7086"/>
    <w:rsid w:val="001D080D"/>
    <w:rsid w:val="001D1535"/>
    <w:rsid w:val="001D63A2"/>
    <w:rsid w:val="001E6D2A"/>
    <w:rsid w:val="001E76FE"/>
    <w:rsid w:val="001F17B0"/>
    <w:rsid w:val="001F54CF"/>
    <w:rsid w:val="001F6CA4"/>
    <w:rsid w:val="001F7AE8"/>
    <w:rsid w:val="00200125"/>
    <w:rsid w:val="002129C9"/>
    <w:rsid w:val="00217732"/>
    <w:rsid w:val="00217DC4"/>
    <w:rsid w:val="00222578"/>
    <w:rsid w:val="002375F1"/>
    <w:rsid w:val="002379F7"/>
    <w:rsid w:val="00242523"/>
    <w:rsid w:val="002465E9"/>
    <w:rsid w:val="002478C3"/>
    <w:rsid w:val="0025380D"/>
    <w:rsid w:val="00260411"/>
    <w:rsid w:val="00262185"/>
    <w:rsid w:val="00264B25"/>
    <w:rsid w:val="002674B1"/>
    <w:rsid w:val="00267D2B"/>
    <w:rsid w:val="00267F18"/>
    <w:rsid w:val="002725BA"/>
    <w:rsid w:val="002727F0"/>
    <w:rsid w:val="00273692"/>
    <w:rsid w:val="00276A72"/>
    <w:rsid w:val="00283A7B"/>
    <w:rsid w:val="00290BD9"/>
    <w:rsid w:val="00290FC6"/>
    <w:rsid w:val="00291F03"/>
    <w:rsid w:val="002A19CF"/>
    <w:rsid w:val="002A1AF5"/>
    <w:rsid w:val="002A1E46"/>
    <w:rsid w:val="002A607C"/>
    <w:rsid w:val="002A6576"/>
    <w:rsid w:val="002B2254"/>
    <w:rsid w:val="002B4999"/>
    <w:rsid w:val="002B790D"/>
    <w:rsid w:val="002C3389"/>
    <w:rsid w:val="002C38D6"/>
    <w:rsid w:val="002C3E28"/>
    <w:rsid w:val="002C43CB"/>
    <w:rsid w:val="002D035F"/>
    <w:rsid w:val="002D3EB0"/>
    <w:rsid w:val="002D3EE4"/>
    <w:rsid w:val="002D56D6"/>
    <w:rsid w:val="002D5B70"/>
    <w:rsid w:val="002D6C6B"/>
    <w:rsid w:val="002E41E3"/>
    <w:rsid w:val="002F3517"/>
    <w:rsid w:val="002F3BF2"/>
    <w:rsid w:val="002F6DA6"/>
    <w:rsid w:val="00304B40"/>
    <w:rsid w:val="00305BD4"/>
    <w:rsid w:val="003071E2"/>
    <w:rsid w:val="00310AAC"/>
    <w:rsid w:val="00314889"/>
    <w:rsid w:val="00317303"/>
    <w:rsid w:val="0032473D"/>
    <w:rsid w:val="0032660D"/>
    <w:rsid w:val="00333336"/>
    <w:rsid w:val="003339BD"/>
    <w:rsid w:val="003374C0"/>
    <w:rsid w:val="00340EEB"/>
    <w:rsid w:val="00340F8F"/>
    <w:rsid w:val="00340FD5"/>
    <w:rsid w:val="003411E4"/>
    <w:rsid w:val="00347735"/>
    <w:rsid w:val="00352230"/>
    <w:rsid w:val="00353E04"/>
    <w:rsid w:val="0035472C"/>
    <w:rsid w:val="00354F7A"/>
    <w:rsid w:val="0035527A"/>
    <w:rsid w:val="00357197"/>
    <w:rsid w:val="00357809"/>
    <w:rsid w:val="00361422"/>
    <w:rsid w:val="00364A55"/>
    <w:rsid w:val="00364CD4"/>
    <w:rsid w:val="00364DC8"/>
    <w:rsid w:val="003730F2"/>
    <w:rsid w:val="00376B6C"/>
    <w:rsid w:val="00381BD4"/>
    <w:rsid w:val="003854C7"/>
    <w:rsid w:val="003930CF"/>
    <w:rsid w:val="00396C3A"/>
    <w:rsid w:val="003A0E43"/>
    <w:rsid w:val="003A2FD3"/>
    <w:rsid w:val="003A47DF"/>
    <w:rsid w:val="003A5B45"/>
    <w:rsid w:val="003B27EB"/>
    <w:rsid w:val="003B3F51"/>
    <w:rsid w:val="003B5119"/>
    <w:rsid w:val="003C0039"/>
    <w:rsid w:val="003C4127"/>
    <w:rsid w:val="003C5EB2"/>
    <w:rsid w:val="003C5F8E"/>
    <w:rsid w:val="003C64BF"/>
    <w:rsid w:val="003D119E"/>
    <w:rsid w:val="003D5711"/>
    <w:rsid w:val="003E26E8"/>
    <w:rsid w:val="003E6720"/>
    <w:rsid w:val="003E7D13"/>
    <w:rsid w:val="003F1E56"/>
    <w:rsid w:val="00402FC9"/>
    <w:rsid w:val="004042BE"/>
    <w:rsid w:val="00404E82"/>
    <w:rsid w:val="00412446"/>
    <w:rsid w:val="00412E73"/>
    <w:rsid w:val="00414B22"/>
    <w:rsid w:val="0041550A"/>
    <w:rsid w:val="004157D9"/>
    <w:rsid w:val="00417733"/>
    <w:rsid w:val="00417BA1"/>
    <w:rsid w:val="00421C1C"/>
    <w:rsid w:val="004256C1"/>
    <w:rsid w:val="00425891"/>
    <w:rsid w:val="00430D09"/>
    <w:rsid w:val="0043644E"/>
    <w:rsid w:val="00436F67"/>
    <w:rsid w:val="00437C5E"/>
    <w:rsid w:val="0044008B"/>
    <w:rsid w:val="00441311"/>
    <w:rsid w:val="0044573F"/>
    <w:rsid w:val="00454855"/>
    <w:rsid w:val="0046660A"/>
    <w:rsid w:val="00474AD8"/>
    <w:rsid w:val="00476E10"/>
    <w:rsid w:val="00480B5F"/>
    <w:rsid w:val="004812E3"/>
    <w:rsid w:val="00482D58"/>
    <w:rsid w:val="004845B3"/>
    <w:rsid w:val="0048630A"/>
    <w:rsid w:val="00491162"/>
    <w:rsid w:val="00496206"/>
    <w:rsid w:val="004A3130"/>
    <w:rsid w:val="004A44D5"/>
    <w:rsid w:val="004A5E69"/>
    <w:rsid w:val="004A7E73"/>
    <w:rsid w:val="004B6BCB"/>
    <w:rsid w:val="004B7FCF"/>
    <w:rsid w:val="004C0350"/>
    <w:rsid w:val="004C13C2"/>
    <w:rsid w:val="004C3295"/>
    <w:rsid w:val="004C3DF4"/>
    <w:rsid w:val="004C4CD1"/>
    <w:rsid w:val="004C4D08"/>
    <w:rsid w:val="004C60D3"/>
    <w:rsid w:val="004C62C7"/>
    <w:rsid w:val="004C7192"/>
    <w:rsid w:val="004C7C0A"/>
    <w:rsid w:val="004D1743"/>
    <w:rsid w:val="004D1C2F"/>
    <w:rsid w:val="004D2067"/>
    <w:rsid w:val="004D4EEA"/>
    <w:rsid w:val="004E3162"/>
    <w:rsid w:val="004E3FD0"/>
    <w:rsid w:val="004E40BA"/>
    <w:rsid w:val="004E4BFE"/>
    <w:rsid w:val="004F147D"/>
    <w:rsid w:val="004F39C6"/>
    <w:rsid w:val="004F3A58"/>
    <w:rsid w:val="004F5E21"/>
    <w:rsid w:val="00501293"/>
    <w:rsid w:val="005045C3"/>
    <w:rsid w:val="00506240"/>
    <w:rsid w:val="005072D8"/>
    <w:rsid w:val="00507A65"/>
    <w:rsid w:val="005104FF"/>
    <w:rsid w:val="00510912"/>
    <w:rsid w:val="00510B41"/>
    <w:rsid w:val="005116C7"/>
    <w:rsid w:val="00512EE9"/>
    <w:rsid w:val="005146F2"/>
    <w:rsid w:val="00515EF4"/>
    <w:rsid w:val="00515F34"/>
    <w:rsid w:val="00516865"/>
    <w:rsid w:val="005169BC"/>
    <w:rsid w:val="005173E3"/>
    <w:rsid w:val="00530BDC"/>
    <w:rsid w:val="00534BA4"/>
    <w:rsid w:val="00537269"/>
    <w:rsid w:val="005406D3"/>
    <w:rsid w:val="00542DA2"/>
    <w:rsid w:val="00545D77"/>
    <w:rsid w:val="00552756"/>
    <w:rsid w:val="00552868"/>
    <w:rsid w:val="00555ED4"/>
    <w:rsid w:val="00557965"/>
    <w:rsid w:val="00560C0B"/>
    <w:rsid w:val="00560E9A"/>
    <w:rsid w:val="00562513"/>
    <w:rsid w:val="00563428"/>
    <w:rsid w:val="0056549E"/>
    <w:rsid w:val="00567298"/>
    <w:rsid w:val="005702F4"/>
    <w:rsid w:val="00570932"/>
    <w:rsid w:val="0057397F"/>
    <w:rsid w:val="005744BD"/>
    <w:rsid w:val="005870EF"/>
    <w:rsid w:val="005877FC"/>
    <w:rsid w:val="005935DD"/>
    <w:rsid w:val="0059545D"/>
    <w:rsid w:val="00597BD5"/>
    <w:rsid w:val="005B167D"/>
    <w:rsid w:val="005C0678"/>
    <w:rsid w:val="005C3C4A"/>
    <w:rsid w:val="005C7756"/>
    <w:rsid w:val="005E2580"/>
    <w:rsid w:val="005F5638"/>
    <w:rsid w:val="005F6F66"/>
    <w:rsid w:val="00600972"/>
    <w:rsid w:val="00602736"/>
    <w:rsid w:val="006032CF"/>
    <w:rsid w:val="0060613B"/>
    <w:rsid w:val="006065C0"/>
    <w:rsid w:val="00607352"/>
    <w:rsid w:val="0060738D"/>
    <w:rsid w:val="0060763D"/>
    <w:rsid w:val="0061318D"/>
    <w:rsid w:val="00614D93"/>
    <w:rsid w:val="0061734F"/>
    <w:rsid w:val="0062372F"/>
    <w:rsid w:val="00624700"/>
    <w:rsid w:val="00625848"/>
    <w:rsid w:val="00625AD6"/>
    <w:rsid w:val="00626010"/>
    <w:rsid w:val="0063262B"/>
    <w:rsid w:val="00632EFE"/>
    <w:rsid w:val="00636921"/>
    <w:rsid w:val="00640C47"/>
    <w:rsid w:val="00642B6D"/>
    <w:rsid w:val="006503A9"/>
    <w:rsid w:val="0065117C"/>
    <w:rsid w:val="0065505F"/>
    <w:rsid w:val="00655EED"/>
    <w:rsid w:val="0065684A"/>
    <w:rsid w:val="00660A1C"/>
    <w:rsid w:val="00662EF0"/>
    <w:rsid w:val="00665D36"/>
    <w:rsid w:val="00666BAA"/>
    <w:rsid w:val="00671BDA"/>
    <w:rsid w:val="00672303"/>
    <w:rsid w:val="00672783"/>
    <w:rsid w:val="00673724"/>
    <w:rsid w:val="0067448F"/>
    <w:rsid w:val="00675781"/>
    <w:rsid w:val="00677BE8"/>
    <w:rsid w:val="006837D6"/>
    <w:rsid w:val="006847A1"/>
    <w:rsid w:val="00690F71"/>
    <w:rsid w:val="00694DDB"/>
    <w:rsid w:val="00697673"/>
    <w:rsid w:val="006A038E"/>
    <w:rsid w:val="006A20A0"/>
    <w:rsid w:val="006A22BD"/>
    <w:rsid w:val="006A2805"/>
    <w:rsid w:val="006A389F"/>
    <w:rsid w:val="006A59E2"/>
    <w:rsid w:val="006A681A"/>
    <w:rsid w:val="006B04C5"/>
    <w:rsid w:val="006B1DAC"/>
    <w:rsid w:val="006B27B0"/>
    <w:rsid w:val="006B519A"/>
    <w:rsid w:val="006B7164"/>
    <w:rsid w:val="006B745A"/>
    <w:rsid w:val="006C6BCA"/>
    <w:rsid w:val="006D0AAB"/>
    <w:rsid w:val="006D3C37"/>
    <w:rsid w:val="006D5E3D"/>
    <w:rsid w:val="006E547F"/>
    <w:rsid w:val="006E6C49"/>
    <w:rsid w:val="006F0978"/>
    <w:rsid w:val="006F1C16"/>
    <w:rsid w:val="006F4182"/>
    <w:rsid w:val="007000CE"/>
    <w:rsid w:val="00700EA4"/>
    <w:rsid w:val="0070184D"/>
    <w:rsid w:val="007021BC"/>
    <w:rsid w:val="00710565"/>
    <w:rsid w:val="00712B6B"/>
    <w:rsid w:val="00713D75"/>
    <w:rsid w:val="00714413"/>
    <w:rsid w:val="00721BA6"/>
    <w:rsid w:val="00722A3C"/>
    <w:rsid w:val="00722BAF"/>
    <w:rsid w:val="00722D44"/>
    <w:rsid w:val="007253CE"/>
    <w:rsid w:val="007263A3"/>
    <w:rsid w:val="00726CF2"/>
    <w:rsid w:val="007311A8"/>
    <w:rsid w:val="00733114"/>
    <w:rsid w:val="00735ABB"/>
    <w:rsid w:val="00735F90"/>
    <w:rsid w:val="00740F2D"/>
    <w:rsid w:val="007416C0"/>
    <w:rsid w:val="00741A20"/>
    <w:rsid w:val="00753778"/>
    <w:rsid w:val="00755F7F"/>
    <w:rsid w:val="007579FF"/>
    <w:rsid w:val="00757D15"/>
    <w:rsid w:val="00762B48"/>
    <w:rsid w:val="00771392"/>
    <w:rsid w:val="007746EF"/>
    <w:rsid w:val="00784E8F"/>
    <w:rsid w:val="007850EE"/>
    <w:rsid w:val="007861AC"/>
    <w:rsid w:val="00786543"/>
    <w:rsid w:val="00787EC4"/>
    <w:rsid w:val="00793A15"/>
    <w:rsid w:val="0079669E"/>
    <w:rsid w:val="007A0493"/>
    <w:rsid w:val="007A0C72"/>
    <w:rsid w:val="007A65A7"/>
    <w:rsid w:val="007A719A"/>
    <w:rsid w:val="007A72C1"/>
    <w:rsid w:val="007A7F28"/>
    <w:rsid w:val="007B3706"/>
    <w:rsid w:val="007B7A18"/>
    <w:rsid w:val="007C3D85"/>
    <w:rsid w:val="007C6D58"/>
    <w:rsid w:val="007D3F78"/>
    <w:rsid w:val="007E47EC"/>
    <w:rsid w:val="007F100A"/>
    <w:rsid w:val="007F5E9B"/>
    <w:rsid w:val="007F7E8B"/>
    <w:rsid w:val="008009E0"/>
    <w:rsid w:val="0080371B"/>
    <w:rsid w:val="00804B5C"/>
    <w:rsid w:val="0080606D"/>
    <w:rsid w:val="0081500E"/>
    <w:rsid w:val="0082224E"/>
    <w:rsid w:val="00822E8D"/>
    <w:rsid w:val="008255AD"/>
    <w:rsid w:val="00830B62"/>
    <w:rsid w:val="008358F6"/>
    <w:rsid w:val="0084049C"/>
    <w:rsid w:val="008451FE"/>
    <w:rsid w:val="0085261A"/>
    <w:rsid w:val="008529C0"/>
    <w:rsid w:val="00856C4F"/>
    <w:rsid w:val="00861EA1"/>
    <w:rsid w:val="00862E22"/>
    <w:rsid w:val="0086348E"/>
    <w:rsid w:val="00864D53"/>
    <w:rsid w:val="00865BB9"/>
    <w:rsid w:val="00874376"/>
    <w:rsid w:val="00880B4E"/>
    <w:rsid w:val="00886364"/>
    <w:rsid w:val="00893D85"/>
    <w:rsid w:val="00896023"/>
    <w:rsid w:val="00896634"/>
    <w:rsid w:val="008A26FC"/>
    <w:rsid w:val="008A66F3"/>
    <w:rsid w:val="008B5BD9"/>
    <w:rsid w:val="008B79F9"/>
    <w:rsid w:val="008B7DA8"/>
    <w:rsid w:val="008C0B2D"/>
    <w:rsid w:val="008C262A"/>
    <w:rsid w:val="008C759E"/>
    <w:rsid w:val="008D164E"/>
    <w:rsid w:val="008D219A"/>
    <w:rsid w:val="008D2A1F"/>
    <w:rsid w:val="008D2ABD"/>
    <w:rsid w:val="008E0D60"/>
    <w:rsid w:val="008E151A"/>
    <w:rsid w:val="008E7714"/>
    <w:rsid w:val="008F044C"/>
    <w:rsid w:val="009029F1"/>
    <w:rsid w:val="00911751"/>
    <w:rsid w:val="009124E0"/>
    <w:rsid w:val="00912778"/>
    <w:rsid w:val="009158EB"/>
    <w:rsid w:val="00915F08"/>
    <w:rsid w:val="00916DF3"/>
    <w:rsid w:val="009179FF"/>
    <w:rsid w:val="00920101"/>
    <w:rsid w:val="0092488E"/>
    <w:rsid w:val="00925138"/>
    <w:rsid w:val="00926127"/>
    <w:rsid w:val="0092749D"/>
    <w:rsid w:val="00927AA6"/>
    <w:rsid w:val="0093789C"/>
    <w:rsid w:val="00937EA6"/>
    <w:rsid w:val="00940A68"/>
    <w:rsid w:val="00946655"/>
    <w:rsid w:val="00954E89"/>
    <w:rsid w:val="00955ABD"/>
    <w:rsid w:val="009567E7"/>
    <w:rsid w:val="0096190B"/>
    <w:rsid w:val="00972675"/>
    <w:rsid w:val="00977564"/>
    <w:rsid w:val="0098041C"/>
    <w:rsid w:val="00980729"/>
    <w:rsid w:val="00983052"/>
    <w:rsid w:val="0098641A"/>
    <w:rsid w:val="009A1B37"/>
    <w:rsid w:val="009A2EC6"/>
    <w:rsid w:val="009A3C71"/>
    <w:rsid w:val="009A3DFA"/>
    <w:rsid w:val="009A3F02"/>
    <w:rsid w:val="009C06C6"/>
    <w:rsid w:val="009C0B0B"/>
    <w:rsid w:val="009C24EC"/>
    <w:rsid w:val="009C328A"/>
    <w:rsid w:val="009C7327"/>
    <w:rsid w:val="009D340B"/>
    <w:rsid w:val="009D4555"/>
    <w:rsid w:val="009D495A"/>
    <w:rsid w:val="009E03E3"/>
    <w:rsid w:val="009E13C8"/>
    <w:rsid w:val="009E17D3"/>
    <w:rsid w:val="009F1144"/>
    <w:rsid w:val="009F2C51"/>
    <w:rsid w:val="009F76F9"/>
    <w:rsid w:val="00A179A3"/>
    <w:rsid w:val="00A2382E"/>
    <w:rsid w:val="00A2790A"/>
    <w:rsid w:val="00A32307"/>
    <w:rsid w:val="00A32AFB"/>
    <w:rsid w:val="00A32D34"/>
    <w:rsid w:val="00A3714F"/>
    <w:rsid w:val="00A414F0"/>
    <w:rsid w:val="00A43CA4"/>
    <w:rsid w:val="00A53BDF"/>
    <w:rsid w:val="00A55110"/>
    <w:rsid w:val="00A63D06"/>
    <w:rsid w:val="00A74882"/>
    <w:rsid w:val="00A74CF8"/>
    <w:rsid w:val="00A74F37"/>
    <w:rsid w:val="00A869CF"/>
    <w:rsid w:val="00A86FAF"/>
    <w:rsid w:val="00A879E5"/>
    <w:rsid w:val="00A91252"/>
    <w:rsid w:val="00A941FF"/>
    <w:rsid w:val="00A950A2"/>
    <w:rsid w:val="00A9700F"/>
    <w:rsid w:val="00A978B2"/>
    <w:rsid w:val="00AA2CD3"/>
    <w:rsid w:val="00AB2C9C"/>
    <w:rsid w:val="00AB40AA"/>
    <w:rsid w:val="00AB58B2"/>
    <w:rsid w:val="00AB67AC"/>
    <w:rsid w:val="00AC2E89"/>
    <w:rsid w:val="00AC4FF4"/>
    <w:rsid w:val="00AC73CF"/>
    <w:rsid w:val="00AD2E5F"/>
    <w:rsid w:val="00AE19CA"/>
    <w:rsid w:val="00AE22D5"/>
    <w:rsid w:val="00AE651C"/>
    <w:rsid w:val="00AE75FA"/>
    <w:rsid w:val="00B053CE"/>
    <w:rsid w:val="00B079EA"/>
    <w:rsid w:val="00B21840"/>
    <w:rsid w:val="00B256D9"/>
    <w:rsid w:val="00B33B39"/>
    <w:rsid w:val="00B35E38"/>
    <w:rsid w:val="00B401CF"/>
    <w:rsid w:val="00B456A6"/>
    <w:rsid w:val="00B458E4"/>
    <w:rsid w:val="00B460D2"/>
    <w:rsid w:val="00B47524"/>
    <w:rsid w:val="00B51251"/>
    <w:rsid w:val="00B532C2"/>
    <w:rsid w:val="00B5505D"/>
    <w:rsid w:val="00B55F3D"/>
    <w:rsid w:val="00B57F85"/>
    <w:rsid w:val="00B60D5C"/>
    <w:rsid w:val="00B62D5A"/>
    <w:rsid w:val="00B807D1"/>
    <w:rsid w:val="00B824D5"/>
    <w:rsid w:val="00B8437A"/>
    <w:rsid w:val="00B84C23"/>
    <w:rsid w:val="00B8666B"/>
    <w:rsid w:val="00B90DD4"/>
    <w:rsid w:val="00B920A4"/>
    <w:rsid w:val="00B935AC"/>
    <w:rsid w:val="00BA07FF"/>
    <w:rsid w:val="00BA4370"/>
    <w:rsid w:val="00BB0876"/>
    <w:rsid w:val="00BC15E8"/>
    <w:rsid w:val="00BC6165"/>
    <w:rsid w:val="00BC7647"/>
    <w:rsid w:val="00BD0B64"/>
    <w:rsid w:val="00BD4F66"/>
    <w:rsid w:val="00BD6BF9"/>
    <w:rsid w:val="00BE0DC4"/>
    <w:rsid w:val="00BE4AC4"/>
    <w:rsid w:val="00BE732C"/>
    <w:rsid w:val="00BE7CAC"/>
    <w:rsid w:val="00BF00AA"/>
    <w:rsid w:val="00BF6834"/>
    <w:rsid w:val="00C00599"/>
    <w:rsid w:val="00C038BB"/>
    <w:rsid w:val="00C054D1"/>
    <w:rsid w:val="00C11DC1"/>
    <w:rsid w:val="00C17473"/>
    <w:rsid w:val="00C22473"/>
    <w:rsid w:val="00C23ACE"/>
    <w:rsid w:val="00C33149"/>
    <w:rsid w:val="00C335C0"/>
    <w:rsid w:val="00C428F0"/>
    <w:rsid w:val="00C44AFA"/>
    <w:rsid w:val="00C53390"/>
    <w:rsid w:val="00C55257"/>
    <w:rsid w:val="00C664C9"/>
    <w:rsid w:val="00C74CB1"/>
    <w:rsid w:val="00C750AB"/>
    <w:rsid w:val="00C76382"/>
    <w:rsid w:val="00C7784C"/>
    <w:rsid w:val="00C81BD6"/>
    <w:rsid w:val="00C824DA"/>
    <w:rsid w:val="00C95DDE"/>
    <w:rsid w:val="00C96BE7"/>
    <w:rsid w:val="00CA0FA6"/>
    <w:rsid w:val="00CA22B6"/>
    <w:rsid w:val="00CA2F27"/>
    <w:rsid w:val="00CA4D58"/>
    <w:rsid w:val="00CA7BE6"/>
    <w:rsid w:val="00CC0619"/>
    <w:rsid w:val="00CC5200"/>
    <w:rsid w:val="00CD3392"/>
    <w:rsid w:val="00CD572F"/>
    <w:rsid w:val="00CE23A4"/>
    <w:rsid w:val="00CF1882"/>
    <w:rsid w:val="00CF3793"/>
    <w:rsid w:val="00CF4296"/>
    <w:rsid w:val="00D01C6E"/>
    <w:rsid w:val="00D07FFA"/>
    <w:rsid w:val="00D10E4B"/>
    <w:rsid w:val="00D127B5"/>
    <w:rsid w:val="00D128DB"/>
    <w:rsid w:val="00D20D86"/>
    <w:rsid w:val="00D26978"/>
    <w:rsid w:val="00D34362"/>
    <w:rsid w:val="00D34746"/>
    <w:rsid w:val="00D369AD"/>
    <w:rsid w:val="00D41F84"/>
    <w:rsid w:val="00D4429A"/>
    <w:rsid w:val="00D51516"/>
    <w:rsid w:val="00D52B6A"/>
    <w:rsid w:val="00D52BA1"/>
    <w:rsid w:val="00D53535"/>
    <w:rsid w:val="00D53BE6"/>
    <w:rsid w:val="00D559E7"/>
    <w:rsid w:val="00D55E34"/>
    <w:rsid w:val="00D57CCA"/>
    <w:rsid w:val="00D64378"/>
    <w:rsid w:val="00D67206"/>
    <w:rsid w:val="00D67CB5"/>
    <w:rsid w:val="00D73E97"/>
    <w:rsid w:val="00D76F04"/>
    <w:rsid w:val="00D76FCF"/>
    <w:rsid w:val="00D80115"/>
    <w:rsid w:val="00D86111"/>
    <w:rsid w:val="00D87DA7"/>
    <w:rsid w:val="00D91D55"/>
    <w:rsid w:val="00D9543E"/>
    <w:rsid w:val="00D96AC7"/>
    <w:rsid w:val="00D972D9"/>
    <w:rsid w:val="00DA495D"/>
    <w:rsid w:val="00DA5935"/>
    <w:rsid w:val="00DA6421"/>
    <w:rsid w:val="00DB0F09"/>
    <w:rsid w:val="00DB1A82"/>
    <w:rsid w:val="00DB7747"/>
    <w:rsid w:val="00DC3511"/>
    <w:rsid w:val="00DC3EC1"/>
    <w:rsid w:val="00DC5B18"/>
    <w:rsid w:val="00DC6829"/>
    <w:rsid w:val="00DD099D"/>
    <w:rsid w:val="00DD3B49"/>
    <w:rsid w:val="00DD4593"/>
    <w:rsid w:val="00DD64ED"/>
    <w:rsid w:val="00DD7436"/>
    <w:rsid w:val="00DF2C05"/>
    <w:rsid w:val="00DF31CF"/>
    <w:rsid w:val="00DF4C08"/>
    <w:rsid w:val="00DF5EC7"/>
    <w:rsid w:val="00DF6F8C"/>
    <w:rsid w:val="00DF7C20"/>
    <w:rsid w:val="00E0215F"/>
    <w:rsid w:val="00E05627"/>
    <w:rsid w:val="00E0791C"/>
    <w:rsid w:val="00E118E8"/>
    <w:rsid w:val="00E11A8A"/>
    <w:rsid w:val="00E1401B"/>
    <w:rsid w:val="00E24471"/>
    <w:rsid w:val="00E25C80"/>
    <w:rsid w:val="00E267AD"/>
    <w:rsid w:val="00E30054"/>
    <w:rsid w:val="00E30498"/>
    <w:rsid w:val="00E30F50"/>
    <w:rsid w:val="00E323D1"/>
    <w:rsid w:val="00E3318F"/>
    <w:rsid w:val="00E40358"/>
    <w:rsid w:val="00E5004C"/>
    <w:rsid w:val="00E52889"/>
    <w:rsid w:val="00E560F0"/>
    <w:rsid w:val="00E56CC9"/>
    <w:rsid w:val="00E5761C"/>
    <w:rsid w:val="00E57658"/>
    <w:rsid w:val="00E60A52"/>
    <w:rsid w:val="00E6133D"/>
    <w:rsid w:val="00E744D4"/>
    <w:rsid w:val="00E7603B"/>
    <w:rsid w:val="00E77381"/>
    <w:rsid w:val="00E807B9"/>
    <w:rsid w:val="00E83EF0"/>
    <w:rsid w:val="00E8556D"/>
    <w:rsid w:val="00E9307C"/>
    <w:rsid w:val="00E9362A"/>
    <w:rsid w:val="00E95210"/>
    <w:rsid w:val="00E96912"/>
    <w:rsid w:val="00EA035A"/>
    <w:rsid w:val="00EA0DE5"/>
    <w:rsid w:val="00EA4C3F"/>
    <w:rsid w:val="00EA6777"/>
    <w:rsid w:val="00EB4F99"/>
    <w:rsid w:val="00EC0091"/>
    <w:rsid w:val="00EC529E"/>
    <w:rsid w:val="00EC5B8E"/>
    <w:rsid w:val="00ED06DA"/>
    <w:rsid w:val="00ED23DB"/>
    <w:rsid w:val="00ED2F15"/>
    <w:rsid w:val="00ED2F77"/>
    <w:rsid w:val="00ED3C97"/>
    <w:rsid w:val="00EE2E46"/>
    <w:rsid w:val="00EE43D5"/>
    <w:rsid w:val="00EF1A24"/>
    <w:rsid w:val="00EF3884"/>
    <w:rsid w:val="00F008FE"/>
    <w:rsid w:val="00F0333C"/>
    <w:rsid w:val="00F061E9"/>
    <w:rsid w:val="00F073C9"/>
    <w:rsid w:val="00F119FA"/>
    <w:rsid w:val="00F13EA7"/>
    <w:rsid w:val="00F15B39"/>
    <w:rsid w:val="00F20E4C"/>
    <w:rsid w:val="00F24186"/>
    <w:rsid w:val="00F24CDA"/>
    <w:rsid w:val="00F30B67"/>
    <w:rsid w:val="00F31883"/>
    <w:rsid w:val="00F33637"/>
    <w:rsid w:val="00F40584"/>
    <w:rsid w:val="00F41A07"/>
    <w:rsid w:val="00F42E89"/>
    <w:rsid w:val="00F552F7"/>
    <w:rsid w:val="00F57E52"/>
    <w:rsid w:val="00F60E63"/>
    <w:rsid w:val="00F63116"/>
    <w:rsid w:val="00F67111"/>
    <w:rsid w:val="00F70178"/>
    <w:rsid w:val="00F775AB"/>
    <w:rsid w:val="00F777AD"/>
    <w:rsid w:val="00F817A7"/>
    <w:rsid w:val="00F817D5"/>
    <w:rsid w:val="00F819A2"/>
    <w:rsid w:val="00F87FA2"/>
    <w:rsid w:val="00F948DF"/>
    <w:rsid w:val="00FA7A1A"/>
    <w:rsid w:val="00FB0AF4"/>
    <w:rsid w:val="00FB0F9C"/>
    <w:rsid w:val="00FD2C6C"/>
    <w:rsid w:val="00FD2FEC"/>
    <w:rsid w:val="00FD3075"/>
    <w:rsid w:val="00FD38FD"/>
    <w:rsid w:val="00FD3B71"/>
    <w:rsid w:val="00FE1E2A"/>
    <w:rsid w:val="00FF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0A24BF-F421-4E8A-B75D-E74D12BC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381BD4"/>
    <w:pPr>
      <w:keepNext/>
      <w:spacing w:before="240" w:after="60"/>
      <w:outlineLvl w:val="0"/>
    </w:pPr>
    <w:rPr>
      <w:rFonts w:ascii="Arial" w:hAnsi="Arial"/>
      <w:b/>
      <w:bCs/>
      <w:kern w:val="32"/>
      <w:sz w:val="32"/>
      <w:szCs w:val="32"/>
      <w:lang w:val="x-none" w:eastAsia="x-none"/>
    </w:rPr>
  </w:style>
  <w:style w:type="paragraph" w:styleId="Heading3">
    <w:name w:val="heading 3"/>
    <w:basedOn w:val="Normal"/>
    <w:next w:val="Normal"/>
    <w:link w:val="Heading3Char"/>
    <w:qFormat/>
    <w:rsid w:val="006065C0"/>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unhideWhenUsed/>
    <w:qFormat/>
    <w:rsid w:val="00A414F0"/>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7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53390"/>
    <w:rPr>
      <w:color w:val="0000FF"/>
      <w:u w:val="single"/>
    </w:rPr>
  </w:style>
  <w:style w:type="paragraph" w:styleId="BalloonText">
    <w:name w:val="Balloon Text"/>
    <w:basedOn w:val="Normal"/>
    <w:link w:val="BalloonTextChar"/>
    <w:rsid w:val="009E03E3"/>
    <w:rPr>
      <w:rFonts w:ascii="Tahoma" w:hAnsi="Tahoma"/>
      <w:sz w:val="16"/>
      <w:szCs w:val="16"/>
    </w:rPr>
  </w:style>
  <w:style w:type="character" w:customStyle="1" w:styleId="BalloonTextChar">
    <w:name w:val="Balloon Text Char"/>
    <w:link w:val="BalloonText"/>
    <w:rsid w:val="009E03E3"/>
    <w:rPr>
      <w:rFonts w:ascii="Tahoma" w:hAnsi="Tahoma" w:cs="Tahoma"/>
      <w:sz w:val="16"/>
      <w:szCs w:val="16"/>
      <w:lang w:val="en-US" w:eastAsia="en-US"/>
    </w:rPr>
  </w:style>
  <w:style w:type="paragraph" w:styleId="Header">
    <w:name w:val="header"/>
    <w:basedOn w:val="Normal"/>
    <w:link w:val="HeaderChar"/>
    <w:rsid w:val="00735ABB"/>
    <w:pPr>
      <w:tabs>
        <w:tab w:val="center" w:pos="4513"/>
        <w:tab w:val="right" w:pos="9026"/>
      </w:tabs>
    </w:pPr>
  </w:style>
  <w:style w:type="character" w:customStyle="1" w:styleId="HeaderChar">
    <w:name w:val="Header Char"/>
    <w:link w:val="Header"/>
    <w:rsid w:val="00735ABB"/>
    <w:rPr>
      <w:sz w:val="24"/>
      <w:szCs w:val="24"/>
      <w:lang w:val="en-US" w:eastAsia="en-US"/>
    </w:rPr>
  </w:style>
  <w:style w:type="paragraph" w:styleId="Footer">
    <w:name w:val="footer"/>
    <w:basedOn w:val="Normal"/>
    <w:link w:val="FooterChar"/>
    <w:uiPriority w:val="99"/>
    <w:rsid w:val="00735ABB"/>
    <w:pPr>
      <w:tabs>
        <w:tab w:val="center" w:pos="4513"/>
        <w:tab w:val="right" w:pos="9026"/>
      </w:tabs>
    </w:pPr>
  </w:style>
  <w:style w:type="character" w:customStyle="1" w:styleId="FooterChar">
    <w:name w:val="Footer Char"/>
    <w:link w:val="Footer"/>
    <w:uiPriority w:val="99"/>
    <w:rsid w:val="00735ABB"/>
    <w:rPr>
      <w:sz w:val="24"/>
      <w:szCs w:val="24"/>
      <w:lang w:val="en-US" w:eastAsia="en-US"/>
    </w:rPr>
  </w:style>
  <w:style w:type="character" w:styleId="PageNumber">
    <w:name w:val="page number"/>
    <w:basedOn w:val="DefaultParagraphFont"/>
    <w:rsid w:val="00672303"/>
  </w:style>
  <w:style w:type="character" w:customStyle="1" w:styleId="Heading3Char">
    <w:name w:val="Heading 3 Char"/>
    <w:link w:val="Heading3"/>
    <w:rsid w:val="006065C0"/>
    <w:rPr>
      <w:rFonts w:ascii="Cambria" w:eastAsia="Times New Roman" w:hAnsi="Cambria" w:cs="Times New Roman"/>
      <w:b/>
      <w:bCs/>
      <w:sz w:val="26"/>
      <w:szCs w:val="26"/>
    </w:rPr>
  </w:style>
  <w:style w:type="character" w:customStyle="1" w:styleId="Heading1Char">
    <w:name w:val="Heading 1 Char"/>
    <w:link w:val="Heading1"/>
    <w:rsid w:val="00B35E38"/>
    <w:rPr>
      <w:rFonts w:ascii="Arial" w:hAnsi="Arial" w:cs="Arial"/>
      <w:b/>
      <w:bCs/>
      <w:kern w:val="32"/>
      <w:sz w:val="32"/>
      <w:szCs w:val="32"/>
    </w:rPr>
  </w:style>
  <w:style w:type="character" w:customStyle="1" w:styleId="Heading5Char">
    <w:name w:val="Heading 5 Char"/>
    <w:link w:val="Heading5"/>
    <w:rsid w:val="00A414F0"/>
    <w:rPr>
      <w:rFonts w:ascii="Calibri" w:eastAsia="Times New Roman" w:hAnsi="Calibri" w:cs="Times New Roman"/>
      <w:b/>
      <w:bCs/>
      <w:i/>
      <w:iCs/>
      <w:sz w:val="26"/>
      <w:szCs w:val="26"/>
    </w:rPr>
  </w:style>
  <w:style w:type="character" w:customStyle="1" w:styleId="apple-converted-space">
    <w:name w:val="apple-converted-space"/>
    <w:basedOn w:val="DefaultParagraphFont"/>
    <w:rsid w:val="00A414F0"/>
  </w:style>
  <w:style w:type="paragraph" w:styleId="NormalWeb">
    <w:name w:val="Normal (Web)"/>
    <w:basedOn w:val="Normal"/>
    <w:uiPriority w:val="99"/>
    <w:unhideWhenUsed/>
    <w:rsid w:val="00412446"/>
    <w:pPr>
      <w:spacing w:before="100" w:beforeAutospacing="1" w:after="100" w:afterAutospacing="1"/>
    </w:pPr>
  </w:style>
  <w:style w:type="character" w:styleId="CommentReference">
    <w:name w:val="annotation reference"/>
    <w:rsid w:val="00276A72"/>
    <w:rPr>
      <w:sz w:val="16"/>
      <w:szCs w:val="16"/>
    </w:rPr>
  </w:style>
  <w:style w:type="paragraph" w:styleId="CommentText">
    <w:name w:val="annotation text"/>
    <w:basedOn w:val="Normal"/>
    <w:link w:val="CommentTextChar"/>
    <w:rsid w:val="00276A72"/>
    <w:rPr>
      <w:sz w:val="20"/>
      <w:szCs w:val="20"/>
    </w:rPr>
  </w:style>
  <w:style w:type="character" w:customStyle="1" w:styleId="CommentTextChar">
    <w:name w:val="Comment Text Char"/>
    <w:link w:val="CommentText"/>
    <w:rsid w:val="00276A72"/>
    <w:rPr>
      <w:lang w:val="en-US" w:eastAsia="en-US"/>
    </w:rPr>
  </w:style>
  <w:style w:type="paragraph" w:styleId="CommentSubject">
    <w:name w:val="annotation subject"/>
    <w:basedOn w:val="CommentText"/>
    <w:next w:val="CommentText"/>
    <w:link w:val="CommentSubjectChar"/>
    <w:rsid w:val="00276A72"/>
    <w:rPr>
      <w:b/>
      <w:bCs/>
    </w:rPr>
  </w:style>
  <w:style w:type="character" w:customStyle="1" w:styleId="CommentSubjectChar">
    <w:name w:val="Comment Subject Char"/>
    <w:link w:val="CommentSubject"/>
    <w:rsid w:val="00276A72"/>
    <w:rPr>
      <w:b/>
      <w:bCs/>
      <w:lang w:val="en-US" w:eastAsia="en-US"/>
    </w:rPr>
  </w:style>
  <w:style w:type="paragraph" w:styleId="Revision">
    <w:name w:val="Revision"/>
    <w:hidden/>
    <w:uiPriority w:val="99"/>
    <w:semiHidden/>
    <w:rsid w:val="00276A72"/>
    <w:rPr>
      <w:sz w:val="24"/>
      <w:szCs w:val="24"/>
    </w:rPr>
  </w:style>
  <w:style w:type="character" w:customStyle="1" w:styleId="panchor">
    <w:name w:val="panchor"/>
    <w:rsid w:val="006A2805"/>
  </w:style>
  <w:style w:type="paragraph" w:styleId="ListParagraph">
    <w:name w:val="List Paragraph"/>
    <w:basedOn w:val="Normal"/>
    <w:uiPriority w:val="34"/>
    <w:qFormat/>
    <w:rsid w:val="006A2805"/>
    <w:pPr>
      <w:ind w:left="720"/>
      <w:contextualSpacing/>
    </w:pPr>
  </w:style>
  <w:style w:type="character" w:styleId="Strong">
    <w:name w:val="Strong"/>
    <w:uiPriority w:val="22"/>
    <w:qFormat/>
    <w:rsid w:val="00DD7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21925">
      <w:bodyDiv w:val="1"/>
      <w:marLeft w:val="0"/>
      <w:marRight w:val="0"/>
      <w:marTop w:val="0"/>
      <w:marBottom w:val="0"/>
      <w:divBdr>
        <w:top w:val="none" w:sz="0" w:space="0" w:color="auto"/>
        <w:left w:val="none" w:sz="0" w:space="0" w:color="auto"/>
        <w:bottom w:val="none" w:sz="0" w:space="0" w:color="auto"/>
        <w:right w:val="none" w:sz="0" w:space="0" w:color="auto"/>
      </w:divBdr>
    </w:div>
    <w:div w:id="465976693">
      <w:bodyDiv w:val="1"/>
      <w:marLeft w:val="0"/>
      <w:marRight w:val="0"/>
      <w:marTop w:val="0"/>
      <w:marBottom w:val="0"/>
      <w:divBdr>
        <w:top w:val="none" w:sz="0" w:space="0" w:color="auto"/>
        <w:left w:val="none" w:sz="0" w:space="0" w:color="auto"/>
        <w:bottom w:val="none" w:sz="0" w:space="0" w:color="auto"/>
        <w:right w:val="none" w:sz="0" w:space="0" w:color="auto"/>
      </w:divBdr>
    </w:div>
    <w:div w:id="1120612541">
      <w:bodyDiv w:val="1"/>
      <w:marLeft w:val="0"/>
      <w:marRight w:val="0"/>
      <w:marTop w:val="0"/>
      <w:marBottom w:val="0"/>
      <w:divBdr>
        <w:top w:val="none" w:sz="0" w:space="0" w:color="auto"/>
        <w:left w:val="none" w:sz="0" w:space="0" w:color="auto"/>
        <w:bottom w:val="none" w:sz="0" w:space="0" w:color="auto"/>
        <w:right w:val="none" w:sz="0" w:space="0" w:color="auto"/>
      </w:divBdr>
    </w:div>
    <w:div w:id="1169297727">
      <w:bodyDiv w:val="1"/>
      <w:marLeft w:val="0"/>
      <w:marRight w:val="0"/>
      <w:marTop w:val="0"/>
      <w:marBottom w:val="0"/>
      <w:divBdr>
        <w:top w:val="none" w:sz="0" w:space="0" w:color="auto"/>
        <w:left w:val="none" w:sz="0" w:space="0" w:color="auto"/>
        <w:bottom w:val="none" w:sz="0" w:space="0" w:color="auto"/>
        <w:right w:val="none" w:sz="0" w:space="0" w:color="auto"/>
      </w:divBdr>
    </w:div>
    <w:div w:id="1260137745">
      <w:bodyDiv w:val="1"/>
      <w:marLeft w:val="0"/>
      <w:marRight w:val="0"/>
      <w:marTop w:val="0"/>
      <w:marBottom w:val="0"/>
      <w:divBdr>
        <w:top w:val="none" w:sz="0" w:space="0" w:color="auto"/>
        <w:left w:val="none" w:sz="0" w:space="0" w:color="auto"/>
        <w:bottom w:val="none" w:sz="0" w:space="0" w:color="auto"/>
        <w:right w:val="none" w:sz="0" w:space="0" w:color="auto"/>
      </w:divBdr>
    </w:div>
    <w:div w:id="1363439348">
      <w:bodyDiv w:val="1"/>
      <w:marLeft w:val="0"/>
      <w:marRight w:val="0"/>
      <w:marTop w:val="0"/>
      <w:marBottom w:val="0"/>
      <w:divBdr>
        <w:top w:val="none" w:sz="0" w:space="0" w:color="auto"/>
        <w:left w:val="none" w:sz="0" w:space="0" w:color="auto"/>
        <w:bottom w:val="none" w:sz="0" w:space="0" w:color="auto"/>
        <w:right w:val="none" w:sz="0" w:space="0" w:color="auto"/>
      </w:divBdr>
    </w:div>
    <w:div w:id="1509981636">
      <w:bodyDiv w:val="1"/>
      <w:marLeft w:val="0"/>
      <w:marRight w:val="0"/>
      <w:marTop w:val="0"/>
      <w:marBottom w:val="0"/>
      <w:divBdr>
        <w:top w:val="none" w:sz="0" w:space="0" w:color="auto"/>
        <w:left w:val="none" w:sz="0" w:space="0" w:color="auto"/>
        <w:bottom w:val="none" w:sz="0" w:space="0" w:color="auto"/>
        <w:right w:val="none" w:sz="0" w:space="0" w:color="auto"/>
      </w:divBdr>
    </w:div>
    <w:div w:id="1596550754">
      <w:bodyDiv w:val="1"/>
      <w:marLeft w:val="0"/>
      <w:marRight w:val="0"/>
      <w:marTop w:val="0"/>
      <w:marBottom w:val="0"/>
      <w:divBdr>
        <w:top w:val="none" w:sz="0" w:space="0" w:color="auto"/>
        <w:left w:val="none" w:sz="0" w:space="0" w:color="auto"/>
        <w:bottom w:val="none" w:sz="0" w:space="0" w:color="auto"/>
        <w:right w:val="none" w:sz="0" w:space="0" w:color="auto"/>
      </w:divBdr>
    </w:div>
    <w:div w:id="1917015783">
      <w:bodyDiv w:val="1"/>
      <w:marLeft w:val="0"/>
      <w:marRight w:val="0"/>
      <w:marTop w:val="0"/>
      <w:marBottom w:val="0"/>
      <w:divBdr>
        <w:top w:val="none" w:sz="0" w:space="0" w:color="auto"/>
        <w:left w:val="none" w:sz="0" w:space="0" w:color="auto"/>
        <w:bottom w:val="none" w:sz="0" w:space="0" w:color="auto"/>
        <w:right w:val="none" w:sz="0" w:space="0" w:color="auto"/>
      </w:divBdr>
    </w:div>
    <w:div w:id="211297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BA928-1460-4E03-95E0-741FE7539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3997</Words>
  <Characters>22787</Characters>
  <Application>Microsoft Office Word</Application>
  <DocSecurity>0</DocSecurity>
  <Lines>189</Lines>
  <Paragraphs>53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NOTĂ DE FUNDAMENTARE</vt:lpstr>
      <vt:lpstr>NOTĂ DE FUNDAMENTARE</vt:lpstr>
    </vt:vector>
  </TitlesOfParts>
  <Company>ACIS</Company>
  <LinksUpToDate>false</LinksUpToDate>
  <CharactersWithSpaces>26731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mirela.felega</dc:creator>
  <cp:lastModifiedBy>Alexandru Tascu</cp:lastModifiedBy>
  <cp:revision>2</cp:revision>
  <cp:lastPrinted>2018-02-05T13:07:00Z</cp:lastPrinted>
  <dcterms:created xsi:type="dcterms:W3CDTF">2018-02-05T12:46:00Z</dcterms:created>
  <dcterms:modified xsi:type="dcterms:W3CDTF">2018-02-05T12:46:00Z</dcterms:modified>
</cp:coreProperties>
</file>