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04" w:rsidRPr="000C2AF7" w:rsidRDefault="00F9213F" w:rsidP="00227504">
      <w:pPr>
        <w:pStyle w:val="ChapterTitle"/>
      </w:pPr>
      <w:bookmarkStart w:id="0" w:name="_GoBack"/>
      <w:bookmarkEnd w:id="0"/>
      <w:r>
        <w:t>MODEL PENTRU PROGRAME OPERAȚIONALE ÎN TEMEIUL OBIECTIVULUI PRIVIND INVESTIȚIILE PENTRU CREȘTERE ȘI LOCURI DE MUNCĂ</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998"/>
      </w:tblGrid>
      <w:tr w:rsidR="00B31B05" w:rsidTr="00717F20">
        <w:trPr>
          <w:trHeight w:val="222"/>
        </w:trPr>
        <w:tc>
          <w:tcPr>
            <w:tcW w:w="2841" w:type="dxa"/>
            <w:shd w:val="clear" w:color="auto" w:fill="auto"/>
          </w:tcPr>
          <w:p w:rsidR="00227504" w:rsidRPr="0019232D" w:rsidRDefault="00F9213F" w:rsidP="00717F20">
            <w:pPr>
              <w:spacing w:before="0" w:after="0"/>
              <w:jc w:val="left"/>
            </w:pPr>
            <w:r w:rsidRPr="0019232D">
              <w:t>CCI</w:t>
            </w:r>
          </w:p>
        </w:tc>
        <w:tc>
          <w:tcPr>
            <w:tcW w:w="5998" w:type="dxa"/>
            <w:shd w:val="clear" w:color="auto" w:fill="auto"/>
          </w:tcPr>
          <w:p w:rsidR="00227504" w:rsidRPr="0019232D" w:rsidRDefault="00F9213F" w:rsidP="00717F20">
            <w:pPr>
              <w:spacing w:before="0" w:after="0"/>
              <w:jc w:val="left"/>
              <w:rPr>
                <w:color w:val="000000"/>
              </w:rPr>
            </w:pPr>
            <w:r w:rsidRPr="0019232D">
              <w:rPr>
                <w:color w:val="000000"/>
              </w:rPr>
              <w:t>2015RO16RFSM001</w:t>
            </w:r>
          </w:p>
        </w:tc>
      </w:tr>
      <w:tr w:rsidR="00B31B05" w:rsidTr="00717F20">
        <w:trPr>
          <w:trHeight w:val="269"/>
        </w:trPr>
        <w:tc>
          <w:tcPr>
            <w:tcW w:w="2841" w:type="dxa"/>
            <w:shd w:val="clear" w:color="auto" w:fill="auto"/>
          </w:tcPr>
          <w:p w:rsidR="00227504" w:rsidRPr="0019232D" w:rsidRDefault="00F9213F" w:rsidP="00717F20">
            <w:pPr>
              <w:spacing w:before="0" w:after="0"/>
              <w:jc w:val="left"/>
              <w:rPr>
                <w:lang w:val="pt-PT"/>
              </w:rPr>
            </w:pPr>
            <w:r w:rsidRPr="0019232D">
              <w:rPr>
                <w:lang w:val="pt-PT"/>
              </w:rPr>
              <w:t>Titlul</w:t>
            </w:r>
          </w:p>
        </w:tc>
        <w:tc>
          <w:tcPr>
            <w:tcW w:w="5998" w:type="dxa"/>
            <w:shd w:val="clear" w:color="auto" w:fill="auto"/>
          </w:tcPr>
          <w:p w:rsidR="00227504" w:rsidRPr="0019232D" w:rsidRDefault="00F9213F" w:rsidP="00717F20">
            <w:pPr>
              <w:spacing w:before="0" w:after="0"/>
              <w:jc w:val="left"/>
              <w:rPr>
                <w:color w:val="000000"/>
              </w:rPr>
            </w:pPr>
            <w:r>
              <w:rPr>
                <w:color w:val="000000"/>
              </w:rPr>
              <w:t>Programul Operational Initiativa pentru IMM-uri Romania</w:t>
            </w: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t>Versiunea</w:t>
            </w:r>
          </w:p>
        </w:tc>
        <w:tc>
          <w:tcPr>
            <w:tcW w:w="5998" w:type="dxa"/>
            <w:shd w:val="clear" w:color="auto" w:fill="auto"/>
          </w:tcPr>
          <w:p w:rsidR="00227504" w:rsidRPr="0019232D" w:rsidRDefault="00F9213F" w:rsidP="00717F20">
            <w:pPr>
              <w:spacing w:before="0" w:after="0"/>
              <w:jc w:val="left"/>
              <w:rPr>
                <w:color w:val="000000"/>
              </w:rPr>
            </w:pPr>
            <w:r w:rsidRPr="0019232D">
              <w:rPr>
                <w:color w:val="000000"/>
              </w:rPr>
              <w:t>1.0</w:t>
            </w: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Primul an</w:t>
            </w:r>
          </w:p>
        </w:tc>
        <w:tc>
          <w:tcPr>
            <w:tcW w:w="5998" w:type="dxa"/>
            <w:shd w:val="clear" w:color="auto" w:fill="auto"/>
          </w:tcPr>
          <w:p w:rsidR="00227504" w:rsidRPr="0019232D" w:rsidRDefault="00F9213F" w:rsidP="00717F20">
            <w:pPr>
              <w:spacing w:before="0" w:after="0"/>
              <w:jc w:val="left"/>
              <w:rPr>
                <w:color w:val="000000"/>
              </w:rPr>
            </w:pPr>
            <w:r w:rsidRPr="0019232D">
              <w:rPr>
                <w:color w:val="000000"/>
              </w:rPr>
              <w:t>2015</w:t>
            </w: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Ultimul an</w:t>
            </w:r>
          </w:p>
        </w:tc>
        <w:tc>
          <w:tcPr>
            <w:tcW w:w="5998" w:type="dxa"/>
            <w:shd w:val="clear" w:color="auto" w:fill="auto"/>
          </w:tcPr>
          <w:p w:rsidR="00227504" w:rsidRPr="0019232D" w:rsidRDefault="00F9213F" w:rsidP="00717F20">
            <w:pPr>
              <w:spacing w:before="0" w:after="0"/>
              <w:jc w:val="left"/>
              <w:rPr>
                <w:color w:val="000000"/>
              </w:rPr>
            </w:pPr>
            <w:r w:rsidRPr="0019232D">
              <w:rPr>
                <w:color w:val="000000"/>
              </w:rPr>
              <w:t>2020</w:t>
            </w: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 xml:space="preserve">Eligibil de la  </w:t>
            </w:r>
          </w:p>
        </w:tc>
        <w:tc>
          <w:tcPr>
            <w:tcW w:w="5998" w:type="dxa"/>
            <w:shd w:val="clear" w:color="auto" w:fill="auto"/>
          </w:tcPr>
          <w:p w:rsidR="00227504" w:rsidRPr="0019232D" w:rsidRDefault="00F9213F" w:rsidP="00717F20">
            <w:pPr>
              <w:spacing w:before="0" w:after="0"/>
              <w:jc w:val="left"/>
              <w:rPr>
                <w:color w:val="000000"/>
              </w:rPr>
            </w:pPr>
            <w:r w:rsidRPr="0019232D">
              <w:rPr>
                <w:color w:val="000000"/>
              </w:rPr>
              <w:t>01.01.2014</w:t>
            </w: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Eligibil până la</w:t>
            </w:r>
          </w:p>
        </w:tc>
        <w:tc>
          <w:tcPr>
            <w:tcW w:w="5998" w:type="dxa"/>
            <w:shd w:val="clear" w:color="auto" w:fill="auto"/>
          </w:tcPr>
          <w:p w:rsidR="00227504" w:rsidRPr="0019232D" w:rsidRDefault="00F9213F" w:rsidP="00717F20">
            <w:pPr>
              <w:spacing w:before="0" w:after="0"/>
              <w:jc w:val="left"/>
              <w:rPr>
                <w:color w:val="000000"/>
              </w:rPr>
            </w:pPr>
            <w:r w:rsidRPr="0019232D">
              <w:rPr>
                <w:color w:val="000000"/>
              </w:rPr>
              <w:t>31.12.2023</w:t>
            </w: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Numărul deciziei CE</w:t>
            </w:r>
          </w:p>
        </w:tc>
        <w:tc>
          <w:tcPr>
            <w:tcW w:w="5998" w:type="dxa"/>
            <w:shd w:val="clear" w:color="auto" w:fill="auto"/>
          </w:tcPr>
          <w:p w:rsidR="00227504" w:rsidRPr="0019232D" w:rsidRDefault="00F9213F" w:rsidP="00717F20">
            <w:pPr>
              <w:spacing w:before="0" w:after="0"/>
              <w:jc w:val="left"/>
              <w:rPr>
                <w:color w:val="000000"/>
              </w:rPr>
            </w:pPr>
            <w:r w:rsidRPr="0019232D">
              <w:rPr>
                <w:color w:val="000000"/>
              </w:rPr>
              <w:t>C(2016)1923</w:t>
            </w: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Data deciziei CE</w:t>
            </w:r>
          </w:p>
        </w:tc>
        <w:tc>
          <w:tcPr>
            <w:tcW w:w="5998" w:type="dxa"/>
            <w:shd w:val="clear" w:color="auto" w:fill="auto"/>
          </w:tcPr>
          <w:p w:rsidR="00227504" w:rsidRPr="0019232D" w:rsidRDefault="00F9213F" w:rsidP="00717F20">
            <w:pPr>
              <w:spacing w:before="0" w:after="0"/>
              <w:jc w:val="left"/>
              <w:rPr>
                <w:color w:val="000000"/>
              </w:rPr>
            </w:pPr>
            <w:r w:rsidRPr="0019232D">
              <w:rPr>
                <w:color w:val="000000"/>
              </w:rPr>
              <w:t>23.03.2016</w:t>
            </w: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Numărul deciziei de modificare a statului membru</w:t>
            </w:r>
          </w:p>
        </w:tc>
        <w:tc>
          <w:tcPr>
            <w:tcW w:w="5998" w:type="dxa"/>
            <w:shd w:val="clear" w:color="auto" w:fill="auto"/>
          </w:tcPr>
          <w:p w:rsidR="00227504" w:rsidRPr="0019232D" w:rsidRDefault="00F9213F" w:rsidP="00717F20">
            <w:pPr>
              <w:spacing w:before="0" w:after="0"/>
              <w:jc w:val="left"/>
              <w:rPr>
                <w:color w:val="000000"/>
              </w:rPr>
            </w:pP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Data deciziei de modificare a statului membru</w:t>
            </w:r>
          </w:p>
        </w:tc>
        <w:tc>
          <w:tcPr>
            <w:tcW w:w="5998" w:type="dxa"/>
            <w:shd w:val="clear" w:color="auto" w:fill="auto"/>
          </w:tcPr>
          <w:p w:rsidR="00227504" w:rsidRPr="0019232D" w:rsidRDefault="00F9213F" w:rsidP="00717F20">
            <w:pPr>
              <w:spacing w:before="0" w:after="0"/>
              <w:jc w:val="left"/>
              <w:rPr>
                <w:color w:val="000000"/>
              </w:rPr>
            </w:pP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 xml:space="preserve">Data intrării în vigoare a deciziei </w:t>
            </w:r>
            <w:r w:rsidRPr="0019232D">
              <w:rPr>
                <w:color w:val="000000"/>
              </w:rPr>
              <w:t>de modificare a statului membru</w:t>
            </w:r>
          </w:p>
        </w:tc>
        <w:tc>
          <w:tcPr>
            <w:tcW w:w="5998" w:type="dxa"/>
            <w:shd w:val="clear" w:color="auto" w:fill="auto"/>
          </w:tcPr>
          <w:p w:rsidR="00227504" w:rsidRPr="0019232D" w:rsidRDefault="00F9213F" w:rsidP="00717F20">
            <w:pPr>
              <w:spacing w:before="0" w:after="0"/>
              <w:jc w:val="left"/>
              <w:rPr>
                <w:color w:val="000000"/>
              </w:rPr>
            </w:pPr>
          </w:p>
        </w:tc>
      </w:tr>
      <w:tr w:rsidR="00B31B05" w:rsidTr="00717F20">
        <w:trPr>
          <w:trHeight w:val="138"/>
        </w:trPr>
        <w:tc>
          <w:tcPr>
            <w:tcW w:w="2841" w:type="dxa"/>
            <w:shd w:val="clear" w:color="auto" w:fill="auto"/>
          </w:tcPr>
          <w:p w:rsidR="00227504" w:rsidRPr="0019232D" w:rsidRDefault="00F9213F" w:rsidP="00717F20">
            <w:pPr>
              <w:spacing w:before="0" w:after="0"/>
              <w:jc w:val="left"/>
            </w:pPr>
            <w:r w:rsidRPr="0019232D">
              <w:rPr>
                <w:color w:val="000000"/>
              </w:rPr>
              <w:t>Regiunile NUTS (nomenclatorul comun al unităților teritoriale de statistică) acoperite de programul operațional</w:t>
            </w:r>
          </w:p>
        </w:tc>
        <w:tc>
          <w:tcPr>
            <w:tcW w:w="5998" w:type="dxa"/>
            <w:shd w:val="clear" w:color="auto" w:fill="auto"/>
          </w:tcPr>
          <w:p w:rsidR="00227504" w:rsidRPr="0019232D" w:rsidRDefault="00F9213F" w:rsidP="00717F20">
            <w:pPr>
              <w:spacing w:before="0" w:after="0"/>
              <w:jc w:val="left"/>
            </w:pPr>
            <w:r w:rsidRPr="0019232D">
              <w:t>RO - ROMÂNIA</w:t>
            </w:r>
          </w:p>
        </w:tc>
      </w:tr>
    </w:tbl>
    <w:p w:rsidR="00227504" w:rsidRPr="00DD373B" w:rsidRDefault="00F9213F" w:rsidP="00227504">
      <w:pPr>
        <w:pStyle w:val="Heading1"/>
        <w:numPr>
          <w:ilvl w:val="0"/>
          <w:numId w:val="0"/>
        </w:numPr>
        <w:jc w:val="left"/>
      </w:pPr>
      <w:r>
        <w:br w:type="page"/>
      </w:r>
      <w:r w:rsidRPr="00DD373B">
        <w:lastRenderedPageBreak/>
        <w:t xml:space="preserve">1. STRATEGIA PENTRU CONTRIBUȚIA PROGRAMULUI OPERAȚIONAL LA STRATEGIA UNIUNII PENTRU O CREȘTERE </w:t>
      </w:r>
      <w:r w:rsidRPr="00DD373B">
        <w:t>INTELIGENTĂ, DURABILĂ ȘI FAVORABILĂ INCLUZIUNII ȘI REALIZAREA COEZIUNII ECONOMICE, SOCIALE ȘI TERITORIALE</w:t>
      </w:r>
    </w:p>
    <w:p w:rsidR="00227504" w:rsidRPr="00CC36B2" w:rsidRDefault="00F9213F" w:rsidP="00227504">
      <w:pPr>
        <w:pStyle w:val="Text1"/>
        <w:ind w:left="0"/>
        <w:jc w:val="left"/>
        <w:rPr>
          <w:color w:val="000000"/>
        </w:rPr>
      </w:pPr>
    </w:p>
    <w:p w:rsidR="00227504" w:rsidRDefault="00F9213F" w:rsidP="00227504">
      <w:pPr>
        <w:pStyle w:val="Heading2"/>
        <w:numPr>
          <w:ilvl w:val="0"/>
          <w:numId w:val="0"/>
        </w:numPr>
        <w:jc w:val="left"/>
        <w:rPr>
          <w:color w:val="000000"/>
        </w:rPr>
      </w:pPr>
      <w:r w:rsidRPr="00CC36B2">
        <w:rPr>
          <w:color w:val="000000"/>
        </w:rPr>
        <w:t xml:space="preserve">1.1 Strategia pentru contribuția programului operațional la strategia Uniunii pentru o creștere inteligentă, durabilă și favorabilă incluziunii și </w:t>
      </w:r>
      <w:r w:rsidRPr="00CC36B2">
        <w:rPr>
          <w:color w:val="000000"/>
        </w:rPr>
        <w:t>realizarea coeziunii economice, sociale și teritoriale</w:t>
      </w:r>
    </w:p>
    <w:p w:rsidR="00227504" w:rsidRPr="00AA06EC" w:rsidRDefault="00F9213F" w:rsidP="00227504">
      <w:pPr>
        <w:pStyle w:val="Text1"/>
        <w:ind w:left="0"/>
      </w:pPr>
    </w:p>
    <w:p w:rsidR="00227504" w:rsidRPr="00B724CB" w:rsidRDefault="00F9213F" w:rsidP="00227504">
      <w:pPr>
        <w:spacing w:before="0" w:after="0"/>
        <w:jc w:val="left"/>
        <w:rPr>
          <w:b/>
          <w:noProof/>
          <w:sz w:val="22"/>
          <w:szCs w:val="22"/>
          <w:lang w:eastAsia="fr-BE"/>
        </w:rPr>
      </w:pPr>
      <w:r>
        <w:rPr>
          <w:noProof/>
          <w:lang w:eastAsia="fr-BE"/>
        </w:rPr>
        <w:t>1.1.2 O justificare pentru alegerea obiectivelor tematice, a priorităților de investiții aferente și a alocărilor financiare, ținând seama de acordul de parteneriat, pe baza identificării necesitățilo</w:t>
      </w:r>
      <w:r>
        <w:rPr>
          <w:noProof/>
          <w:lang w:eastAsia="fr-BE"/>
        </w:rPr>
        <w:t>r regionale și, după caz, naționale, inclusiv necesitatea de abordare a dificultăților identificate în recomandările specifice corespunzătoare adresate fiecărei țări, adoptate în conformitate cu articolul 121 alineatul (2) din TFUE, precum și recomandările</w:t>
      </w:r>
      <w:r>
        <w:rPr>
          <w:noProof/>
          <w:lang w:eastAsia="fr-BE"/>
        </w:rPr>
        <w:t xml:space="preserve"> corespunzătoare ale Consiliului adoptate în conformitate cu articolul 148 alineatul (4) din TFUE, ținând seama de evaluarea ex ante.</w:t>
      </w:r>
    </w:p>
    <w:p w:rsidR="00227504" w:rsidRPr="00B724CB" w:rsidRDefault="00F9213F" w:rsidP="00227504">
      <w:pPr>
        <w:rPr>
          <w:b/>
          <w:noProof/>
          <w:sz w:val="22"/>
          <w:szCs w:val="22"/>
          <w:lang w:eastAsia="fr-BE"/>
        </w:rPr>
      </w:pPr>
    </w:p>
    <w:p w:rsidR="00227504" w:rsidRPr="009A634A" w:rsidRDefault="00F9213F" w:rsidP="009A634A">
      <w:pPr>
        <w:keepNext/>
        <w:ind w:left="-142"/>
        <w:jc w:val="left"/>
        <w:rPr>
          <w:noProof/>
          <w:sz w:val="22"/>
          <w:szCs w:val="22"/>
          <w:lang w:eastAsia="fr-BE"/>
        </w:rPr>
      </w:pPr>
      <w:r>
        <w:rPr>
          <w:b/>
          <w:noProof/>
          <w:sz w:val="22"/>
          <w:szCs w:val="22"/>
          <w:lang w:eastAsia="fr-BE"/>
        </w:rPr>
        <w:t>Tabelul 1: Justificare pentru selectarea obiectivelor tematice și a priorităților de investiții</w:t>
      </w:r>
    </w:p>
    <w:tbl>
      <w:tblPr>
        <w:tblW w:w="8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4477"/>
      </w:tblGrid>
      <w:tr w:rsidR="00B31B05" w:rsidTr="00717F20">
        <w:trPr>
          <w:trHeight w:val="288"/>
          <w:tblHeader/>
        </w:trPr>
        <w:tc>
          <w:tcPr>
            <w:tcW w:w="2127" w:type="dxa"/>
            <w:shd w:val="clear" w:color="auto" w:fill="auto"/>
          </w:tcPr>
          <w:p w:rsidR="00227504" w:rsidRPr="00D6078B" w:rsidRDefault="00F9213F" w:rsidP="00717F20">
            <w:pPr>
              <w:jc w:val="center"/>
              <w:rPr>
                <w:b/>
                <w:noProof/>
                <w:color w:val="000000"/>
                <w:sz w:val="18"/>
                <w:szCs w:val="18"/>
                <w:lang w:eastAsia="fr-BE"/>
              </w:rPr>
            </w:pPr>
            <w:r w:rsidRPr="00D6078B">
              <w:rPr>
                <w:b/>
                <w:noProof/>
                <w:color w:val="000000"/>
                <w:sz w:val="18"/>
                <w:szCs w:val="18"/>
                <w:lang w:eastAsia="fr-BE"/>
              </w:rPr>
              <w:t>Obiectiv tematic selectat</w:t>
            </w:r>
          </w:p>
        </w:tc>
        <w:tc>
          <w:tcPr>
            <w:tcW w:w="2268" w:type="dxa"/>
            <w:shd w:val="clear" w:color="auto" w:fill="auto"/>
          </w:tcPr>
          <w:p w:rsidR="00227504" w:rsidRPr="00D6078B" w:rsidRDefault="00F9213F" w:rsidP="00717F20">
            <w:pPr>
              <w:jc w:val="center"/>
              <w:rPr>
                <w:b/>
                <w:noProof/>
                <w:color w:val="000000"/>
                <w:sz w:val="18"/>
                <w:szCs w:val="18"/>
                <w:lang w:eastAsia="fr-BE"/>
              </w:rPr>
            </w:pPr>
            <w:r w:rsidRPr="00D6078B">
              <w:rPr>
                <w:b/>
                <w:noProof/>
                <w:color w:val="000000"/>
                <w:sz w:val="18"/>
                <w:szCs w:val="18"/>
                <w:lang w:eastAsia="fr-BE"/>
              </w:rPr>
              <w:t>Prioritatea de investiții selectată</w:t>
            </w:r>
          </w:p>
        </w:tc>
        <w:tc>
          <w:tcPr>
            <w:tcW w:w="4477" w:type="dxa"/>
            <w:shd w:val="clear" w:color="auto" w:fill="auto"/>
          </w:tcPr>
          <w:p w:rsidR="00227504" w:rsidRPr="00D6078B" w:rsidRDefault="00F9213F" w:rsidP="00717F20">
            <w:pPr>
              <w:jc w:val="center"/>
              <w:rPr>
                <w:b/>
                <w:noProof/>
                <w:color w:val="000000"/>
                <w:sz w:val="18"/>
                <w:szCs w:val="18"/>
                <w:lang w:eastAsia="fr-BE"/>
              </w:rPr>
            </w:pPr>
            <w:r w:rsidRPr="00D6078B">
              <w:rPr>
                <w:b/>
                <w:noProof/>
                <w:color w:val="000000"/>
                <w:sz w:val="18"/>
                <w:szCs w:val="18"/>
                <w:lang w:eastAsia="fr-BE"/>
              </w:rPr>
              <w:t>Justificarea selectării</w:t>
            </w:r>
          </w:p>
        </w:tc>
      </w:tr>
      <w:tr w:rsidR="00B31B05" w:rsidTr="00717F20">
        <w:trPr>
          <w:trHeight w:val="288"/>
        </w:trPr>
        <w:tc>
          <w:tcPr>
            <w:tcW w:w="2127" w:type="dxa"/>
            <w:shd w:val="clear" w:color="auto" w:fill="auto"/>
          </w:tcPr>
          <w:p w:rsidR="00227504" w:rsidRPr="005E2357" w:rsidRDefault="00F9213F" w:rsidP="00717F20">
            <w:pPr>
              <w:jc w:val="left"/>
              <w:rPr>
                <w:noProof/>
                <w:sz w:val="20"/>
                <w:szCs w:val="20"/>
                <w:lang w:eastAsia="fr-BE"/>
              </w:rPr>
            </w:pPr>
            <w:r w:rsidRPr="005E2357">
              <w:rPr>
                <w:noProof/>
                <w:sz w:val="20"/>
                <w:szCs w:val="20"/>
                <w:lang w:eastAsia="fr-BE"/>
              </w:rPr>
              <w:t>03 - Îmbunătățirea competitivității întreprinderilor mici și mijlocii, a sectorului agricol (în cazul FEADR) și a sectorului pescuitului și acvaculturii (pentru FEPAM)</w:t>
            </w:r>
          </w:p>
        </w:tc>
        <w:tc>
          <w:tcPr>
            <w:tcW w:w="2268" w:type="dxa"/>
            <w:shd w:val="clear" w:color="auto" w:fill="auto"/>
          </w:tcPr>
          <w:p w:rsidR="00227504" w:rsidRPr="00A15CFE" w:rsidRDefault="00F9213F" w:rsidP="00717F20">
            <w:pPr>
              <w:jc w:val="left"/>
              <w:rPr>
                <w:noProof/>
                <w:color w:val="000000"/>
                <w:sz w:val="20"/>
                <w:szCs w:val="20"/>
                <w:lang w:eastAsia="fr-BE"/>
              </w:rPr>
            </w:pPr>
            <w:r w:rsidRPr="00A15CFE">
              <w:rPr>
                <w:noProof/>
                <w:color w:val="000000"/>
                <w:sz w:val="20"/>
                <w:szCs w:val="20"/>
                <w:lang w:eastAsia="fr-BE"/>
              </w:rPr>
              <w:t xml:space="preserve">3d - Sprijinirea </w:t>
            </w:r>
            <w:r w:rsidRPr="00A15CFE">
              <w:rPr>
                <w:noProof/>
                <w:color w:val="000000"/>
                <w:sz w:val="20"/>
                <w:szCs w:val="20"/>
                <w:lang w:eastAsia="fr-BE"/>
              </w:rPr>
              <w:t>capacității IMM-urilor de a se dezvolta pe piețele regionale, naționale și internaționale și de a se implica în procesele de inovare</w:t>
            </w:r>
          </w:p>
        </w:tc>
        <w:tc>
          <w:tcPr>
            <w:tcW w:w="4477" w:type="dxa"/>
            <w:shd w:val="clear" w:color="auto" w:fill="auto"/>
          </w:tcPr>
          <w:p w:rsidR="00B31B05" w:rsidRDefault="00F9213F">
            <w:pPr>
              <w:numPr>
                <w:ilvl w:val="0"/>
                <w:numId w:val="42"/>
              </w:numPr>
              <w:spacing w:before="0" w:after="240"/>
              <w:ind w:hanging="210"/>
              <w:jc w:val="left"/>
            </w:pPr>
            <w:r>
              <w:t>Facilitarea accesul IMM-urilor la finanțare și reducerea sarcinii administrative care le revine acestora.</w:t>
            </w:r>
          </w:p>
          <w:p w:rsidR="00B31B05" w:rsidRDefault="00F9213F">
            <w:pPr>
              <w:numPr>
                <w:ilvl w:val="0"/>
                <w:numId w:val="42"/>
              </w:numPr>
              <w:spacing w:before="240" w:after="240"/>
              <w:ind w:hanging="210"/>
              <w:jc w:val="left"/>
            </w:pPr>
            <w:r>
              <w:t xml:space="preserve">Strategia Europa </w:t>
            </w:r>
            <w:r>
              <w:t>2020 identifică îmbunătățirea competitivității ca factor pentru îndeplinirea obiectivului de creștere sustenabilă</w:t>
            </w:r>
          </w:p>
          <w:p w:rsidR="00B31B05" w:rsidRDefault="00F9213F">
            <w:pPr>
              <w:numPr>
                <w:ilvl w:val="0"/>
                <w:numId w:val="42"/>
              </w:numPr>
              <w:spacing w:before="240" w:after="240"/>
              <w:ind w:hanging="210"/>
              <w:jc w:val="left"/>
            </w:pPr>
            <w:r>
              <w:t>Evaluarea ex-ante pentru IIMM, finalizata in 2013 de CE şi BEI, a identificat o nevoie neacoperită de finanțare a IMM de până la EUR 1.4bn num</w:t>
            </w:r>
            <w:r>
              <w:t>ai pentru perioada 2009-2011.</w:t>
            </w:r>
          </w:p>
          <w:p w:rsidR="00B31B05" w:rsidRDefault="00F9213F">
            <w:pPr>
              <w:numPr>
                <w:ilvl w:val="0"/>
                <w:numId w:val="42"/>
              </w:numPr>
              <w:spacing w:before="240" w:after="240"/>
              <w:ind w:hanging="210"/>
              <w:jc w:val="left"/>
            </w:pPr>
            <w:r>
              <w:t xml:space="preserve">Utilizand o metodologie similara celei din evaluarea ex-ante pentru IMM, Evaluarea ex-ante pentru Romania a determinat un decalaj de finantare pentru IMM din Romania </w:t>
            </w:r>
            <w:r>
              <w:lastRenderedPageBreak/>
              <w:t>de EUR 3.4bn pana in 2020.</w:t>
            </w:r>
          </w:p>
          <w:p w:rsidR="00B31B05" w:rsidRDefault="00F9213F">
            <w:pPr>
              <w:numPr>
                <w:ilvl w:val="0"/>
                <w:numId w:val="42"/>
              </w:numPr>
              <w:spacing w:before="240" w:after="240"/>
              <w:ind w:hanging="210"/>
              <w:jc w:val="left"/>
            </w:pPr>
            <w:r>
              <w:t>AP identifică măsuri de îmbunătăț</w:t>
            </w:r>
            <w:r>
              <w:t>ire a accesului la finanțare, inclusiv, din punct de vedere al furnizorilor, prin asigurarea unei game de instrumente financiare adecvate.</w:t>
            </w:r>
          </w:p>
          <w:p w:rsidR="00B31B05" w:rsidRDefault="00F9213F">
            <w:pPr>
              <w:numPr>
                <w:ilvl w:val="0"/>
                <w:numId w:val="42"/>
              </w:numPr>
              <w:spacing w:before="240" w:after="240"/>
              <w:ind w:hanging="210"/>
              <w:jc w:val="left"/>
            </w:pPr>
            <w:r>
              <w:t>Planul de acțiune din cadrul SNC 2014-2020 include ca direcție de acțiune ”Îmbunătăţirea accesului la finanţare al co</w:t>
            </w:r>
            <w:r>
              <w:t>mpaniilor și în special al IMMurilor”.</w:t>
            </w:r>
          </w:p>
          <w:p w:rsidR="00B31B05" w:rsidRDefault="00F9213F">
            <w:pPr>
              <w:numPr>
                <w:ilvl w:val="0"/>
                <w:numId w:val="42"/>
              </w:numPr>
              <w:spacing w:before="0" w:after="240"/>
              <w:ind w:hanging="210"/>
              <w:jc w:val="left"/>
            </w:pPr>
            <w:r>
              <w:t>SNIMM identifică măsuri privind îmbunãtãţirea accesului IMM la finanţare.</w:t>
            </w:r>
          </w:p>
          <w:p w:rsidR="00227504" w:rsidRPr="00DE5DD7" w:rsidRDefault="00F9213F" w:rsidP="00717F20">
            <w:pPr>
              <w:jc w:val="left"/>
              <w:rPr>
                <w:noProof/>
                <w:color w:val="000000"/>
                <w:sz w:val="20"/>
                <w:szCs w:val="20"/>
                <w:lang w:eastAsia="fr-BE"/>
              </w:rPr>
            </w:pPr>
          </w:p>
        </w:tc>
      </w:tr>
    </w:tbl>
    <w:p w:rsidR="00227504" w:rsidRDefault="00F9213F" w:rsidP="00227504">
      <w:pPr>
        <w:rPr>
          <w:lang w:val="fr-BE"/>
        </w:rPr>
      </w:pPr>
    </w:p>
    <w:p w:rsidR="00C139BF" w:rsidRPr="001A2013" w:rsidRDefault="00F9213F" w:rsidP="00227504">
      <w:pPr>
        <w:rPr>
          <w:lang w:val="fr-BE"/>
        </w:rPr>
        <w:sectPr w:rsidR="00C139BF" w:rsidRPr="001A2013" w:rsidSect="00EA13D8">
          <w:footerReference w:type="default" r:id="rId8"/>
          <w:pgSz w:w="11906" w:h="16838"/>
          <w:pgMar w:top="1022" w:right="1699" w:bottom="1022" w:left="1584" w:header="709" w:footer="709" w:gutter="0"/>
          <w:cols w:space="708"/>
          <w:docGrid w:linePitch="360"/>
        </w:sectPr>
      </w:pPr>
    </w:p>
    <w:p w:rsidR="00227504" w:rsidRPr="00F51FE9" w:rsidRDefault="00F9213F" w:rsidP="00227504">
      <w:pPr>
        <w:pStyle w:val="Heading1"/>
        <w:numPr>
          <w:ilvl w:val="0"/>
          <w:numId w:val="0"/>
        </w:numPr>
        <w:ind w:left="850" w:hanging="850"/>
        <w:jc w:val="left"/>
        <w:rPr>
          <w:lang w:val="fr-BE"/>
        </w:rPr>
      </w:pPr>
      <w:r w:rsidRPr="00F51FE9">
        <w:rPr>
          <w:lang w:val="fr-BE"/>
        </w:rPr>
        <w:lastRenderedPageBreak/>
        <w:t>2. AXE PRIORITARE</w:t>
      </w:r>
    </w:p>
    <w:p w:rsidR="00227504" w:rsidRPr="00E36AAB" w:rsidRDefault="00F9213F" w:rsidP="00227504">
      <w:pPr>
        <w:pStyle w:val="ManualHeading1"/>
        <w:jc w:val="left"/>
      </w:pPr>
      <w:r w:rsidRPr="00E36AAB">
        <w:rPr>
          <w:color w:val="000000"/>
          <w:sz w:val="20"/>
          <w:szCs w:val="20"/>
        </w:rPr>
        <w:t>2.A Descriere a axelor prioritare, altele decât asistența tehnică</w:t>
      </w:r>
    </w:p>
    <w:p w:rsidR="00227504" w:rsidRPr="00E36AAB" w:rsidRDefault="00F9213F" w:rsidP="00227504">
      <w:pPr>
        <w:pStyle w:val="Text1"/>
        <w:ind w:left="0"/>
        <w:rPr>
          <w:b/>
          <w:color w:val="000000"/>
          <w:sz w:val="20"/>
          <w:szCs w:val="20"/>
        </w:rPr>
      </w:pPr>
    </w:p>
    <w:p w:rsidR="00227504" w:rsidRPr="00E36AAB" w:rsidRDefault="00F9213F" w:rsidP="00227504">
      <w:pPr>
        <w:pStyle w:val="ManualHeading2"/>
        <w:jc w:val="left"/>
      </w:pPr>
      <w:r w:rsidRPr="00E36AAB">
        <w:t>2.A.1 Axa prioritară</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0773"/>
      </w:tblGrid>
      <w:tr w:rsidR="00B31B05" w:rsidTr="00E25111">
        <w:trPr>
          <w:trHeight w:val="288"/>
          <w:tblHeader/>
        </w:trPr>
        <w:tc>
          <w:tcPr>
            <w:tcW w:w="4253" w:type="dxa"/>
            <w:shd w:val="clear" w:color="auto" w:fill="auto"/>
          </w:tcPr>
          <w:p w:rsidR="00227504" w:rsidRPr="00D6078B" w:rsidRDefault="00F9213F" w:rsidP="00717F20">
            <w:pPr>
              <w:pStyle w:val="Text1"/>
              <w:ind w:left="0"/>
              <w:jc w:val="left"/>
              <w:rPr>
                <w:b/>
                <w:sz w:val="18"/>
                <w:szCs w:val="18"/>
              </w:rPr>
            </w:pPr>
            <w:r>
              <w:rPr>
                <w:b/>
                <w:sz w:val="18"/>
                <w:szCs w:val="18"/>
              </w:rPr>
              <w:t>ID-ul axei prioritare</w:t>
            </w:r>
          </w:p>
        </w:tc>
        <w:tc>
          <w:tcPr>
            <w:tcW w:w="10773" w:type="dxa"/>
            <w:shd w:val="clear" w:color="auto" w:fill="auto"/>
            <w:vAlign w:val="center"/>
          </w:tcPr>
          <w:p w:rsidR="00227504" w:rsidRPr="006D78B0" w:rsidRDefault="00F9213F" w:rsidP="00717F20">
            <w:pPr>
              <w:pStyle w:val="Text1"/>
              <w:ind w:left="0"/>
              <w:jc w:val="left"/>
              <w:rPr>
                <w:b/>
                <w:sz w:val="18"/>
                <w:szCs w:val="18"/>
              </w:rPr>
            </w:pPr>
            <w:r w:rsidRPr="006D78B0">
              <w:rPr>
                <w:sz w:val="18"/>
                <w:szCs w:val="18"/>
              </w:rPr>
              <w:t>AP 1</w:t>
            </w:r>
          </w:p>
        </w:tc>
      </w:tr>
      <w:tr w:rsidR="00B31B05" w:rsidTr="00E25111">
        <w:trPr>
          <w:trHeight w:val="288"/>
        </w:trPr>
        <w:tc>
          <w:tcPr>
            <w:tcW w:w="4253" w:type="dxa"/>
            <w:shd w:val="clear" w:color="auto" w:fill="auto"/>
          </w:tcPr>
          <w:p w:rsidR="00227504" w:rsidRPr="00D6078B" w:rsidRDefault="00F9213F" w:rsidP="00717F20">
            <w:pPr>
              <w:pStyle w:val="Text1"/>
              <w:ind w:left="0"/>
              <w:jc w:val="left"/>
              <w:rPr>
                <w:sz w:val="18"/>
                <w:szCs w:val="18"/>
              </w:rPr>
            </w:pPr>
            <w:r>
              <w:rPr>
                <w:b/>
                <w:sz w:val="18"/>
                <w:szCs w:val="18"/>
              </w:rPr>
              <w:t>Denumirea axei prioritare</w:t>
            </w:r>
          </w:p>
        </w:tc>
        <w:tc>
          <w:tcPr>
            <w:tcW w:w="10773" w:type="dxa"/>
            <w:shd w:val="clear" w:color="auto" w:fill="auto"/>
          </w:tcPr>
          <w:p w:rsidR="00227504" w:rsidRPr="006D78B0" w:rsidRDefault="00F9213F" w:rsidP="00717F20">
            <w:pPr>
              <w:pStyle w:val="Text1"/>
              <w:ind w:left="0"/>
              <w:jc w:val="left"/>
              <w:rPr>
                <w:sz w:val="18"/>
                <w:szCs w:val="18"/>
              </w:rPr>
            </w:pPr>
            <w:r w:rsidRPr="006D78B0">
              <w:rPr>
                <w:sz w:val="18"/>
                <w:szCs w:val="18"/>
              </w:rPr>
              <w:t xml:space="preserve">Creșterea accesului </w:t>
            </w:r>
            <w:r w:rsidRPr="006D78B0">
              <w:rPr>
                <w:sz w:val="18"/>
                <w:szCs w:val="18"/>
              </w:rPr>
              <w:t>la finanțare a IMM-urilor din România</w:t>
            </w:r>
          </w:p>
        </w:tc>
      </w:tr>
    </w:tbl>
    <w:p w:rsidR="00227504" w:rsidRDefault="00F9213F" w:rsidP="00227504">
      <w:pPr>
        <w:autoSpaceDE w:val="0"/>
        <w:autoSpaceDN w:val="0"/>
        <w:adjustRightInd w:val="0"/>
        <w:spacing w:before="0" w:after="0"/>
        <w:jc w:val="left"/>
      </w:pPr>
    </w:p>
    <w:p w:rsidR="00227504" w:rsidRPr="007C6A30" w:rsidRDefault="00F9213F" w:rsidP="00227504">
      <w:pPr>
        <w:autoSpaceDE w:val="0"/>
        <w:autoSpaceDN w:val="0"/>
        <w:adjustRightInd w:val="0"/>
        <w:spacing w:before="0" w:after="0"/>
        <w:jc w:val="left"/>
        <w:rPr>
          <w:lang w:eastAsia="en-GB"/>
        </w:rPr>
      </w:pPr>
      <w:r w:rsidRPr="007C6A30">
        <w:rPr>
          <w:rFonts w:ascii="Wingdings" w:hAnsi="Wingdings"/>
          <w:sz w:val="26"/>
          <w:szCs w:val="26"/>
          <w:lang w:eastAsia="en-GB"/>
        </w:rPr>
        <w:sym w:font="Wingdings" w:char="F06F"/>
      </w:r>
      <w:r w:rsidRPr="007C6A30">
        <w:t xml:space="preserve"> </w:t>
      </w:r>
      <w:r w:rsidRPr="007C6A30">
        <w:rPr>
          <w:color w:val="000000"/>
        </w:rPr>
        <w:t>Întreaga axă prioritară se va implementa exclusiv prin instrumente financiare</w:t>
      </w:r>
    </w:p>
    <w:p w:rsidR="00227504" w:rsidRPr="007C6A30" w:rsidRDefault="00F9213F" w:rsidP="00227504">
      <w:pPr>
        <w:autoSpaceDE w:val="0"/>
        <w:autoSpaceDN w:val="0"/>
        <w:adjustRightInd w:val="0"/>
        <w:spacing w:before="0" w:after="0"/>
        <w:jc w:val="left"/>
        <w:rPr>
          <w:lang w:eastAsia="en-GB"/>
        </w:rPr>
      </w:pPr>
      <w:r w:rsidRPr="007C6A30">
        <w:rPr>
          <w:rFonts w:ascii="Wingdings" w:hAnsi="Wingdings"/>
          <w:sz w:val="26"/>
          <w:szCs w:val="26"/>
          <w:lang w:eastAsia="en-GB"/>
        </w:rPr>
        <w:sym w:font="Wingdings" w:char="F0FE"/>
      </w:r>
      <w:r w:rsidRPr="007C6A30">
        <w:t xml:space="preserve"> </w:t>
      </w:r>
      <w:r w:rsidRPr="007C6A30">
        <w:rPr>
          <w:color w:val="000000"/>
        </w:rPr>
        <w:t>Întreaga axă prioritară se va implementa exclusiv prin instrumente financiare stabilite la nivelul Uniunii</w:t>
      </w:r>
    </w:p>
    <w:p w:rsidR="00227504" w:rsidRPr="007C6A30" w:rsidRDefault="00F9213F" w:rsidP="00797E79">
      <w:pPr>
        <w:autoSpaceDE w:val="0"/>
        <w:autoSpaceDN w:val="0"/>
        <w:adjustRightInd w:val="0"/>
        <w:spacing w:before="0" w:after="0"/>
        <w:jc w:val="left"/>
      </w:pPr>
      <w:r w:rsidRPr="007C6A30">
        <w:rPr>
          <w:rFonts w:ascii="Wingdings" w:hAnsi="Wingdings"/>
          <w:sz w:val="26"/>
          <w:szCs w:val="26"/>
          <w:lang w:eastAsia="en-GB"/>
        </w:rPr>
        <w:sym w:font="Wingdings" w:char="F06F"/>
      </w:r>
      <w:r w:rsidRPr="007C6A30">
        <w:t xml:space="preserve"> Întreaga axă prioritară </w:t>
      </w:r>
      <w:r w:rsidRPr="007C6A30">
        <w:t>se va implementa prin dezvoltare locală plasată sub responsabilitatea comunității</w:t>
      </w:r>
    </w:p>
    <w:p w:rsidR="00227504" w:rsidRPr="007C6A30" w:rsidRDefault="00F9213F" w:rsidP="00227504">
      <w:pPr>
        <w:autoSpaceDE w:val="0"/>
        <w:autoSpaceDN w:val="0"/>
        <w:adjustRightInd w:val="0"/>
        <w:spacing w:before="0" w:after="0"/>
        <w:jc w:val="left"/>
        <w:rPr>
          <w:color w:val="000000"/>
        </w:rPr>
      </w:pPr>
      <w:r w:rsidRPr="007C6A30">
        <w:rPr>
          <w:rFonts w:ascii="Wingdings" w:hAnsi="Wingdings"/>
          <w:sz w:val="26"/>
          <w:szCs w:val="26"/>
          <w:lang w:eastAsia="en-GB"/>
        </w:rPr>
        <w:sym w:font="Wingdings" w:char="F06F"/>
      </w:r>
      <w:r w:rsidRPr="007C6A30">
        <w:t xml:space="preserve"> </w:t>
      </w:r>
      <w:r w:rsidRPr="007C6A30">
        <w:rPr>
          <w:color w:val="000000"/>
        </w:rPr>
        <w:t>În ceea ce privește FSE: Întreaga axă prioritară este dedicată inovării sociale sau cooperării transnaționale sau amândurora</w:t>
      </w:r>
    </w:p>
    <w:p w:rsidR="00227504" w:rsidRPr="00495FED" w:rsidRDefault="00F9213F" w:rsidP="00227504">
      <w:pPr>
        <w:pStyle w:val="Text1"/>
        <w:ind w:left="0"/>
      </w:pPr>
    </w:p>
    <w:p w:rsidR="00227504" w:rsidRPr="00DD6F97" w:rsidRDefault="00F9213F" w:rsidP="00227504">
      <w:pPr>
        <w:pStyle w:val="ManualHeading2"/>
        <w:tabs>
          <w:tab w:val="clear" w:pos="850"/>
          <w:tab w:val="left" w:pos="0"/>
        </w:tabs>
        <w:ind w:left="0" w:firstLine="0"/>
        <w:rPr>
          <w:b w:val="0"/>
          <w:color w:val="000000"/>
        </w:rPr>
      </w:pPr>
      <w:r>
        <w:rPr>
          <w:color w:val="000000"/>
        </w:rPr>
        <w:t xml:space="preserve">2.A.2 Justificarea stabilirii unei axe </w:t>
      </w:r>
      <w:r>
        <w:rPr>
          <w:color w:val="000000"/>
        </w:rPr>
        <w:t>prioritare care acoperă mai mult de o categorie de regiune, obiectiv tematic sau fond</w:t>
      </w:r>
      <w:r>
        <w:rPr>
          <w:b w:val="0"/>
          <w:color w:val="000000"/>
        </w:rPr>
        <w:t xml:space="preserve"> (după caz)</w:t>
      </w:r>
    </w:p>
    <w:p w:rsidR="00B31B05" w:rsidRDefault="00F9213F">
      <w:pPr>
        <w:spacing w:before="0" w:after="240"/>
        <w:jc w:val="left"/>
      </w:pPr>
      <w:r>
        <w:t>POIIMM va acoperi atât regiunea București-Ilfov, care este clasificată ca regiune mai dezvoltată, cât și celelalte 7 regiuni ale țării, care sunt ”mai puțin de</w:t>
      </w:r>
      <w:r>
        <w:t>zvoltate”. Acordarea de credite se va face la nivel național, în funcție de cererea IMM, fără obiective regionale.</w:t>
      </w:r>
    </w:p>
    <w:p w:rsidR="00B31B05" w:rsidRDefault="00F9213F">
      <w:pPr>
        <w:spacing w:before="240" w:after="240"/>
        <w:jc w:val="left"/>
      </w:pPr>
      <w:r>
        <w:t>Totodată, în cadrul instrumentului de garanție neplafonată, plățile se efectuează numai în cazul în care împrumuturile nu sunt achitate de că</w:t>
      </w:r>
      <w:r>
        <w:t>tre IMM-uri, în ordinea primirii cererilor de plată, nefiind condiţionate de localizarea investitiei într-una dintre categoriile de regiuni. Prin urmare, plățile efective se ”împart” între regiuni într-un mod care nu poate fi determinat ex-ante, pe toată d</w:t>
      </w:r>
      <w:r>
        <w:t>urata existenței portofoliului de credite (adică, până la expirarea ultimului contract de împrumut cu IMM-urile). Astfel, implementarea instrumentului se va realiza fără ținte regionale referitoare la volumul de credite acordate, iar efectul de multiplicar</w:t>
      </w:r>
      <w:r>
        <w:t>e se va calcula, de asemenea, la nivel național, chiar dacă POIIMM contribuie pentru două tipuri de regiuni, respectiv ”mai dezvoltate” și ”mai puțin dezvoltate”.</w:t>
      </w:r>
    </w:p>
    <w:p w:rsidR="00227504" w:rsidRPr="00EB22D2" w:rsidRDefault="00F9213F" w:rsidP="00227504">
      <w:pPr>
        <w:pStyle w:val="Text1"/>
        <w:ind w:left="0"/>
        <w:jc w:val="left"/>
        <w:rPr>
          <w:color w:val="000000"/>
        </w:rPr>
      </w:pPr>
    </w:p>
    <w:p w:rsidR="00227504" w:rsidRPr="00115CCB" w:rsidRDefault="00F9213F" w:rsidP="00227504">
      <w:pPr>
        <w:pStyle w:val="Text1"/>
        <w:ind w:left="0"/>
        <w:rPr>
          <w:sz w:val="17"/>
          <w:szCs w:val="17"/>
          <w:lang w:eastAsia="en-GB"/>
        </w:rPr>
      </w:pPr>
    </w:p>
    <w:p w:rsidR="00227504" w:rsidRPr="001B0D0C" w:rsidRDefault="00F9213F" w:rsidP="00227504">
      <w:pPr>
        <w:pStyle w:val="ManualHeading2"/>
      </w:pPr>
      <w:r>
        <w:t>2.A.3 Fondul, categoria de regiune și baza de calcul pentru sprijinul Uniunii</w:t>
      </w:r>
    </w:p>
    <w:tbl>
      <w:tblPr>
        <w:tblW w:w="15076" w:type="dxa"/>
        <w:tblInd w:w="108" w:type="dxa"/>
        <w:tblLayout w:type="fixed"/>
        <w:tblLook w:val="04A0" w:firstRow="1" w:lastRow="0" w:firstColumn="1" w:lastColumn="0" w:noHBand="0" w:noVBand="1"/>
      </w:tblPr>
      <w:tblGrid>
        <w:gridCol w:w="4253"/>
        <w:gridCol w:w="6520"/>
        <w:gridCol w:w="4303"/>
      </w:tblGrid>
      <w:tr w:rsidR="00B31B05" w:rsidTr="00E25111">
        <w:trPr>
          <w:trHeight w:val="288"/>
          <w:tblHead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227504" w:rsidRPr="00D6078B" w:rsidRDefault="00F9213F" w:rsidP="00717F20">
            <w:pPr>
              <w:pStyle w:val="Text1"/>
              <w:ind w:left="0"/>
              <w:jc w:val="center"/>
              <w:rPr>
                <w:b/>
                <w:color w:val="000000"/>
                <w:sz w:val="18"/>
                <w:szCs w:val="18"/>
              </w:rPr>
            </w:pPr>
            <w:r w:rsidRPr="00D6078B">
              <w:rPr>
                <w:b/>
                <w:color w:val="000000"/>
                <w:sz w:val="18"/>
                <w:szCs w:val="18"/>
              </w:rPr>
              <w:t>Fond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27504" w:rsidRPr="00D6078B" w:rsidRDefault="00F9213F" w:rsidP="00717F20">
            <w:pPr>
              <w:pStyle w:val="Text1"/>
              <w:ind w:left="0"/>
              <w:jc w:val="center"/>
              <w:rPr>
                <w:b/>
                <w:color w:val="000000"/>
                <w:sz w:val="18"/>
                <w:szCs w:val="18"/>
              </w:rPr>
            </w:pPr>
            <w:r w:rsidRPr="00D6078B">
              <w:rPr>
                <w:b/>
                <w:color w:val="000000"/>
                <w:sz w:val="18"/>
                <w:szCs w:val="18"/>
              </w:rPr>
              <w:t>Categoria de regiune</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227504" w:rsidRPr="00D6078B" w:rsidRDefault="00F9213F" w:rsidP="00717F20">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r>
      <w:tr w:rsidR="00B31B05" w:rsidTr="00E25111">
        <w:trPr>
          <w:trHeight w:val="28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227504" w:rsidRPr="00686742" w:rsidRDefault="00F9213F" w:rsidP="00717F20">
            <w:pPr>
              <w:pStyle w:val="Text1"/>
              <w:ind w:left="0"/>
              <w:jc w:val="left"/>
              <w:rPr>
                <w:color w:val="000000"/>
                <w:sz w:val="18"/>
                <w:szCs w:val="18"/>
              </w:rPr>
            </w:pPr>
            <w:r w:rsidRPr="00686742">
              <w:rPr>
                <w:color w:val="000000"/>
                <w:sz w:val="18"/>
                <w:szCs w:val="18"/>
              </w:rPr>
              <w:t xml:space="preserve"> ERDF</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27504" w:rsidRPr="00686742" w:rsidRDefault="00F9213F" w:rsidP="00717F20">
            <w:pPr>
              <w:pStyle w:val="Text1"/>
              <w:ind w:left="0"/>
              <w:jc w:val="left"/>
              <w:rPr>
                <w:color w:val="000000"/>
                <w:sz w:val="18"/>
                <w:szCs w:val="18"/>
              </w:rPr>
            </w:pPr>
            <w:r w:rsidRPr="00686742">
              <w:rPr>
                <w:color w:val="000000"/>
                <w:sz w:val="18"/>
                <w:szCs w:val="18"/>
              </w:rPr>
              <w:t>Mai puțin dezvoltate</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227504" w:rsidRPr="00686742" w:rsidRDefault="00F9213F" w:rsidP="005E2357">
            <w:pPr>
              <w:pStyle w:val="Text1"/>
              <w:ind w:left="0"/>
              <w:jc w:val="left"/>
              <w:rPr>
                <w:color w:val="000000"/>
                <w:sz w:val="18"/>
                <w:szCs w:val="18"/>
              </w:rPr>
            </w:pPr>
            <w:r>
              <w:rPr>
                <w:b/>
                <w:color w:val="000000"/>
                <w:sz w:val="18"/>
                <w:szCs w:val="18"/>
              </w:rPr>
              <w:t>Error! Reference source not found.</w:t>
            </w:r>
          </w:p>
        </w:tc>
      </w:tr>
      <w:tr w:rsidR="00B31B05" w:rsidTr="00E25111">
        <w:trPr>
          <w:trHeight w:val="28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227504" w:rsidRPr="00686742" w:rsidRDefault="00F9213F" w:rsidP="00717F20">
            <w:pPr>
              <w:pStyle w:val="Text1"/>
              <w:ind w:left="0"/>
              <w:jc w:val="left"/>
              <w:rPr>
                <w:color w:val="000000"/>
                <w:sz w:val="18"/>
                <w:szCs w:val="18"/>
              </w:rPr>
            </w:pPr>
            <w:r w:rsidRPr="00686742">
              <w:rPr>
                <w:color w:val="000000"/>
                <w:sz w:val="18"/>
                <w:szCs w:val="18"/>
              </w:rPr>
              <w:t xml:space="preserve"> ERDF</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27504" w:rsidRPr="00686742" w:rsidRDefault="00F9213F" w:rsidP="00717F20">
            <w:pPr>
              <w:pStyle w:val="Text1"/>
              <w:ind w:left="0"/>
              <w:jc w:val="left"/>
              <w:rPr>
                <w:color w:val="000000"/>
                <w:sz w:val="18"/>
                <w:szCs w:val="18"/>
              </w:rPr>
            </w:pPr>
            <w:r w:rsidRPr="00686742">
              <w:rPr>
                <w:color w:val="000000"/>
                <w:sz w:val="18"/>
                <w:szCs w:val="18"/>
              </w:rPr>
              <w:t>Mai dezvoltate</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227504" w:rsidRPr="00686742" w:rsidRDefault="00F9213F" w:rsidP="005E2357">
            <w:pPr>
              <w:pStyle w:val="Text1"/>
              <w:ind w:left="0"/>
              <w:jc w:val="left"/>
              <w:rPr>
                <w:color w:val="000000"/>
                <w:sz w:val="18"/>
                <w:szCs w:val="18"/>
              </w:rPr>
            </w:pPr>
            <w:r>
              <w:rPr>
                <w:b/>
                <w:color w:val="000000"/>
                <w:sz w:val="18"/>
                <w:szCs w:val="18"/>
              </w:rPr>
              <w:t>Error! Reference source not found.</w:t>
            </w:r>
          </w:p>
        </w:tc>
      </w:tr>
    </w:tbl>
    <w:p w:rsidR="00227504" w:rsidRPr="009A634A" w:rsidRDefault="00F9213F" w:rsidP="009A634A">
      <w:pPr>
        <w:pStyle w:val="Text1"/>
        <w:ind w:left="0"/>
      </w:pPr>
    </w:p>
    <w:p w:rsidR="00227504" w:rsidRDefault="00F9213F" w:rsidP="00227504">
      <w:pPr>
        <w:pStyle w:val="ManualHeading2"/>
        <w:rPr>
          <w:sz w:val="20"/>
          <w:szCs w:val="20"/>
        </w:rPr>
      </w:pPr>
      <w:r>
        <w:t xml:space="preserve">2.A.4 Prioritate de </w:t>
      </w:r>
      <w:r>
        <w:t>investiții</w:t>
      </w:r>
    </w:p>
    <w:tbl>
      <w:tblPr>
        <w:tblW w:w="15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0823"/>
      </w:tblGrid>
      <w:tr w:rsidR="00B31B05" w:rsidTr="00E25111">
        <w:trPr>
          <w:trHeight w:val="288"/>
          <w:tblHeader/>
        </w:trPr>
        <w:tc>
          <w:tcPr>
            <w:tcW w:w="4253" w:type="dxa"/>
            <w:shd w:val="clear" w:color="auto" w:fill="auto"/>
          </w:tcPr>
          <w:p w:rsidR="00227504" w:rsidRPr="00D6078B" w:rsidRDefault="00F9213F" w:rsidP="00717F20">
            <w:pPr>
              <w:pStyle w:val="Text1"/>
              <w:spacing w:before="60" w:after="60"/>
              <w:ind w:left="0"/>
              <w:jc w:val="left"/>
              <w:rPr>
                <w:b/>
                <w:sz w:val="18"/>
                <w:szCs w:val="18"/>
              </w:rPr>
            </w:pPr>
            <w:r>
              <w:rPr>
                <w:b/>
                <w:sz w:val="18"/>
                <w:szCs w:val="18"/>
              </w:rPr>
              <w:t>ID-ul priorității de investiții</w:t>
            </w:r>
          </w:p>
        </w:tc>
        <w:tc>
          <w:tcPr>
            <w:tcW w:w="10823" w:type="dxa"/>
            <w:shd w:val="clear" w:color="auto" w:fill="auto"/>
            <w:vAlign w:val="center"/>
          </w:tcPr>
          <w:p w:rsidR="00227504" w:rsidRPr="006D78B0" w:rsidRDefault="00F9213F" w:rsidP="00717F20">
            <w:pPr>
              <w:pStyle w:val="Text1"/>
              <w:spacing w:before="60" w:after="60"/>
              <w:ind w:left="0"/>
              <w:jc w:val="left"/>
              <w:rPr>
                <w:b/>
                <w:sz w:val="18"/>
                <w:szCs w:val="18"/>
              </w:rPr>
            </w:pPr>
            <w:r w:rsidRPr="006D78B0">
              <w:rPr>
                <w:sz w:val="18"/>
                <w:szCs w:val="18"/>
              </w:rPr>
              <w:t>3d</w:t>
            </w:r>
          </w:p>
        </w:tc>
      </w:tr>
      <w:tr w:rsidR="00B31B05" w:rsidTr="00E25111">
        <w:trPr>
          <w:trHeight w:val="288"/>
        </w:trPr>
        <w:tc>
          <w:tcPr>
            <w:tcW w:w="4253" w:type="dxa"/>
            <w:shd w:val="clear" w:color="auto" w:fill="auto"/>
          </w:tcPr>
          <w:p w:rsidR="00227504" w:rsidRPr="00D6078B" w:rsidRDefault="00F9213F" w:rsidP="00717F20">
            <w:pPr>
              <w:pStyle w:val="Text1"/>
              <w:spacing w:before="60" w:after="60"/>
              <w:ind w:left="0"/>
              <w:jc w:val="left"/>
              <w:rPr>
                <w:sz w:val="18"/>
                <w:szCs w:val="18"/>
              </w:rPr>
            </w:pPr>
            <w:r>
              <w:rPr>
                <w:b/>
                <w:sz w:val="18"/>
                <w:szCs w:val="18"/>
              </w:rPr>
              <w:t>Titlul priorității de investiții</w:t>
            </w:r>
          </w:p>
        </w:tc>
        <w:tc>
          <w:tcPr>
            <w:tcW w:w="10823" w:type="dxa"/>
            <w:shd w:val="clear" w:color="auto" w:fill="auto"/>
          </w:tcPr>
          <w:p w:rsidR="00227504" w:rsidRPr="006D78B0" w:rsidRDefault="00F9213F" w:rsidP="00717F20">
            <w:pPr>
              <w:pStyle w:val="Text1"/>
              <w:spacing w:before="60" w:after="60"/>
              <w:ind w:left="0"/>
              <w:jc w:val="left"/>
              <w:rPr>
                <w:sz w:val="18"/>
                <w:szCs w:val="18"/>
              </w:rPr>
            </w:pPr>
            <w:r w:rsidRPr="006D78B0">
              <w:rPr>
                <w:sz w:val="18"/>
                <w:szCs w:val="18"/>
              </w:rPr>
              <w:t>Sprijinirea capacității IMM-urilor de a se dezvolta pe piețele regionale, naționale și internaționale și de a se implica în procesele de inovare</w:t>
            </w:r>
          </w:p>
        </w:tc>
      </w:tr>
    </w:tbl>
    <w:p w:rsidR="00227504" w:rsidRPr="00461EF3" w:rsidRDefault="00F9213F" w:rsidP="00227504">
      <w:pPr>
        <w:pStyle w:val="Text1"/>
        <w:ind w:left="0"/>
      </w:pPr>
    </w:p>
    <w:p w:rsidR="00227504" w:rsidRPr="00603402" w:rsidRDefault="00F9213F" w:rsidP="00227504">
      <w:pPr>
        <w:pStyle w:val="ManualHeading2"/>
      </w:pPr>
      <w:r>
        <w:t xml:space="preserve">2.A.5 Obiective specifice </w:t>
      </w:r>
      <w:r>
        <w:t>corespunzătoare priorității de investiții și rezultatele preconizate</w:t>
      </w:r>
    </w:p>
    <w:tbl>
      <w:tblPr>
        <w:tblW w:w="1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0851"/>
      </w:tblGrid>
      <w:tr w:rsidR="00B31B05" w:rsidTr="00E25111">
        <w:trPr>
          <w:trHeight w:val="288"/>
        </w:trPr>
        <w:tc>
          <w:tcPr>
            <w:tcW w:w="4253" w:type="dxa"/>
            <w:shd w:val="clear" w:color="auto" w:fill="auto"/>
          </w:tcPr>
          <w:p w:rsidR="00227504" w:rsidRPr="00D6078B" w:rsidRDefault="00F9213F" w:rsidP="00717F20">
            <w:pPr>
              <w:pStyle w:val="Text1"/>
              <w:spacing w:before="60" w:after="60"/>
              <w:ind w:left="0"/>
              <w:jc w:val="left"/>
              <w:rPr>
                <w:b/>
                <w:sz w:val="18"/>
                <w:szCs w:val="18"/>
              </w:rPr>
            </w:pPr>
            <w:r>
              <w:rPr>
                <w:b/>
                <w:sz w:val="18"/>
                <w:szCs w:val="18"/>
              </w:rPr>
              <w:t>ID-ul obiectivului specific</w:t>
            </w:r>
          </w:p>
        </w:tc>
        <w:tc>
          <w:tcPr>
            <w:tcW w:w="10851" w:type="dxa"/>
            <w:shd w:val="clear" w:color="auto" w:fill="auto"/>
          </w:tcPr>
          <w:p w:rsidR="00227504" w:rsidRPr="00D6078B" w:rsidRDefault="00F9213F" w:rsidP="00717F20">
            <w:pPr>
              <w:pStyle w:val="Text1"/>
              <w:spacing w:before="60" w:after="60"/>
              <w:ind w:left="0"/>
              <w:jc w:val="left"/>
              <w:rPr>
                <w:b/>
                <w:sz w:val="18"/>
                <w:szCs w:val="18"/>
              </w:rPr>
            </w:pPr>
            <w:r>
              <w:rPr>
                <w:sz w:val="18"/>
                <w:szCs w:val="18"/>
              </w:rPr>
              <w:t>OS 1</w:t>
            </w:r>
          </w:p>
        </w:tc>
      </w:tr>
      <w:tr w:rsidR="00B31B05" w:rsidTr="00E25111">
        <w:trPr>
          <w:trHeight w:val="288"/>
        </w:trPr>
        <w:tc>
          <w:tcPr>
            <w:tcW w:w="4253" w:type="dxa"/>
            <w:shd w:val="clear" w:color="auto" w:fill="auto"/>
          </w:tcPr>
          <w:p w:rsidR="00227504" w:rsidRPr="00D6078B" w:rsidRDefault="00F9213F" w:rsidP="00717F20">
            <w:pPr>
              <w:pStyle w:val="Text1"/>
              <w:spacing w:before="60" w:after="60"/>
              <w:ind w:left="0"/>
              <w:jc w:val="left"/>
              <w:rPr>
                <w:sz w:val="18"/>
                <w:szCs w:val="18"/>
              </w:rPr>
            </w:pPr>
            <w:r>
              <w:rPr>
                <w:b/>
                <w:sz w:val="18"/>
                <w:szCs w:val="18"/>
              </w:rPr>
              <w:t>Titlul obiectivului specific</w:t>
            </w:r>
          </w:p>
        </w:tc>
        <w:tc>
          <w:tcPr>
            <w:tcW w:w="10851" w:type="dxa"/>
            <w:shd w:val="clear" w:color="auto" w:fill="auto"/>
          </w:tcPr>
          <w:p w:rsidR="00227504" w:rsidRPr="00D6078B" w:rsidRDefault="00F9213F" w:rsidP="00717F20">
            <w:pPr>
              <w:pStyle w:val="Text1"/>
              <w:spacing w:before="60" w:after="60"/>
              <w:ind w:left="0"/>
              <w:jc w:val="left"/>
              <w:rPr>
                <w:sz w:val="18"/>
                <w:szCs w:val="18"/>
              </w:rPr>
            </w:pPr>
            <w:r w:rsidRPr="00D6078B">
              <w:rPr>
                <w:sz w:val="18"/>
                <w:szCs w:val="18"/>
              </w:rPr>
              <w:t>Facilitarea accesului IMM-urilor la finanțare prin implementarea instrumentului de garantare neplafonată</w:t>
            </w:r>
          </w:p>
        </w:tc>
      </w:tr>
      <w:tr w:rsidR="00B31B05" w:rsidTr="00E25111">
        <w:trPr>
          <w:trHeight w:val="289"/>
        </w:trPr>
        <w:tc>
          <w:tcPr>
            <w:tcW w:w="4253" w:type="dxa"/>
            <w:shd w:val="clear" w:color="auto" w:fill="auto"/>
          </w:tcPr>
          <w:p w:rsidR="00227504" w:rsidRPr="00D6078B" w:rsidRDefault="00F9213F" w:rsidP="00717F20">
            <w:pPr>
              <w:spacing w:before="60" w:after="60"/>
              <w:jc w:val="left"/>
              <w:rPr>
                <w:sz w:val="18"/>
                <w:szCs w:val="18"/>
              </w:rPr>
            </w:pPr>
            <w:r>
              <w:rPr>
                <w:b/>
                <w:sz w:val="18"/>
                <w:szCs w:val="18"/>
              </w:rPr>
              <w:t>Rezultatele pe car</w:t>
            </w:r>
            <w:r>
              <w:rPr>
                <w:b/>
                <w:sz w:val="18"/>
                <w:szCs w:val="18"/>
              </w:rPr>
              <w:t>e statul membru caută să le obțină prin sprijinul din partea Uniunii</w:t>
            </w:r>
          </w:p>
        </w:tc>
        <w:tc>
          <w:tcPr>
            <w:tcW w:w="10851" w:type="dxa"/>
            <w:shd w:val="clear" w:color="auto" w:fill="auto"/>
          </w:tcPr>
          <w:p w:rsidR="00B31B05" w:rsidRDefault="00F9213F">
            <w:pPr>
              <w:spacing w:before="0" w:after="240"/>
              <w:jc w:val="left"/>
            </w:pPr>
            <w:r>
              <w:t>Prin implementarea instrumentului de garantare neplafonată, PO urmărește înlesnirea accesului la finanțare al IMM-urilor din România, în vederea creșterii productivițății, inovării și a c</w:t>
            </w:r>
            <w:r>
              <w:t>apacitățiia IMM-urilor de a crește pe piețele regionale, naționale și internaționale.</w:t>
            </w:r>
          </w:p>
          <w:p w:rsidR="00B31B05" w:rsidRDefault="00F9213F">
            <w:pPr>
              <w:spacing w:before="240" w:after="240"/>
              <w:jc w:val="left"/>
            </w:pPr>
            <w:r>
              <w:t xml:space="preserve">Pe baza experienţei acumulate prin implementarea JEREMIE în România, POIIMM va facilita accesul IMM-urilor la finanţare prin furnizarea de garanţii printr-un instrument </w:t>
            </w:r>
            <w:r>
              <w:t xml:space="preserve">care va utiliza resurse HORIZON 2020, FEI, BEI şi FEDR, în cooperare cu BEI/FEI şi cu scopul de a genera împrumuturi adiţionale IMM-urilor. Pentru a </w:t>
            </w:r>
            <w:r>
              <w:lastRenderedPageBreak/>
              <w:t>spijini creşterea competitivităţii IMM-urilor, în implementarea POIIMM se va acorda o atenţie specială acti</w:t>
            </w:r>
            <w:r>
              <w:t>vităţilor inovative, inclusiv prin crearea unui sub-portofoliu minim de credite care corespund criteriilor de eligibilitate HORIZON 2020.</w:t>
            </w:r>
          </w:p>
          <w:p w:rsidR="00B31B05" w:rsidRDefault="00F9213F">
            <w:pPr>
              <w:spacing w:before="240" w:after="240"/>
              <w:jc w:val="left"/>
            </w:pPr>
            <w:r>
              <w:t xml:space="preserve">POIIMMM va sprijini accesul IMM-urilor la finanţare prin combinarea fondurilor FEDR cu cele ale altor programe </w:t>
            </w:r>
            <w:r>
              <w:t>sprijinite din resursele UE. Scopul este de a dezvolta IMM-urile prin facilitarea şi maximizarea sinergiilor dintre programele existente privind sprijinirea IMM-urilor, la nivel naţional şi european. </w:t>
            </w:r>
          </w:p>
          <w:p w:rsidR="00B31B05" w:rsidRDefault="00F9213F">
            <w:pPr>
              <w:spacing w:before="240" w:after="240"/>
              <w:jc w:val="left"/>
            </w:pPr>
            <w:r>
              <w:t>Complementaritatea și sinergiile cu alte instrumente fi</w:t>
            </w:r>
            <w:r>
              <w:t>nanciare propuse în cadrul altor PO este asigurată și la nivel conceptual, având în vedere faptul că garanția neplafonată de portofoliu face parte din matricea instrumentelor financiare identificate în cadrul evaluării ex-ante pentru IF destinate întreprin</w:t>
            </w:r>
            <w:r>
              <w:t>derilor între 2014-2020.</w:t>
            </w:r>
          </w:p>
          <w:p w:rsidR="00B31B05" w:rsidRDefault="00F9213F">
            <w:pPr>
              <w:spacing w:before="240" w:after="240"/>
              <w:jc w:val="left"/>
            </w:pPr>
            <w:r>
              <w:t>Analiza ex-ante a prezentat o relație de corelare între stadiul de dezvoltare al afacerii și IF adecvate, utilizate în PO-uri:</w:t>
            </w:r>
          </w:p>
          <w:p w:rsidR="00B31B05" w:rsidRDefault="00F9213F">
            <w:pPr>
              <w:numPr>
                <w:ilvl w:val="0"/>
                <w:numId w:val="43"/>
              </w:numPr>
              <w:spacing w:before="240" w:after="0"/>
              <w:ind w:hanging="210"/>
              <w:jc w:val="left"/>
            </w:pPr>
            <w:r>
              <w:t xml:space="preserve">Pentru etapa incipientă de dezvoltare a afacerii: </w:t>
            </w:r>
          </w:p>
          <w:p w:rsidR="00B31B05" w:rsidRDefault="00F9213F">
            <w:pPr>
              <w:numPr>
                <w:ilvl w:val="1"/>
                <w:numId w:val="43"/>
              </w:numPr>
              <w:spacing w:before="0" w:after="0"/>
              <w:ind w:hanging="244"/>
              <w:jc w:val="left"/>
            </w:pPr>
            <w:r>
              <w:t>Fonduri de investiții de capital pentru seed și early</w:t>
            </w:r>
            <w:r>
              <w:t>-stage: acceleratoare de antreprenoriat și fonduri de seed - POC</w:t>
            </w:r>
          </w:p>
          <w:p w:rsidR="00B31B05" w:rsidRDefault="00F9213F">
            <w:pPr>
              <w:numPr>
                <w:ilvl w:val="1"/>
                <w:numId w:val="43"/>
              </w:numPr>
              <w:spacing w:before="0" w:after="0"/>
              <w:ind w:hanging="244"/>
              <w:jc w:val="left"/>
            </w:pPr>
            <w:r>
              <w:t>Microcredite și garanții pentru întreprinderi aflate în etapele seed și start-up - POCU</w:t>
            </w:r>
          </w:p>
          <w:p w:rsidR="00B31B05" w:rsidRDefault="00F9213F">
            <w:pPr>
              <w:numPr>
                <w:ilvl w:val="0"/>
                <w:numId w:val="43"/>
              </w:numPr>
              <w:spacing w:before="0" w:after="0"/>
              <w:ind w:hanging="210"/>
              <w:jc w:val="left"/>
            </w:pPr>
            <w:r>
              <w:t xml:space="preserve">Pentru etapa de creștere a întreprinderilor: </w:t>
            </w:r>
          </w:p>
          <w:p w:rsidR="00B31B05" w:rsidRDefault="00F9213F">
            <w:pPr>
              <w:numPr>
                <w:ilvl w:val="1"/>
                <w:numId w:val="44"/>
              </w:numPr>
              <w:spacing w:before="240" w:after="240"/>
              <w:ind w:hanging="244"/>
              <w:jc w:val="left"/>
            </w:pPr>
            <w:r>
              <w:t>Împrumuturi cu partajarea riscului - POC și POR</w:t>
            </w:r>
          </w:p>
          <w:p w:rsidR="00B31B05" w:rsidRDefault="00F9213F">
            <w:pPr>
              <w:numPr>
                <w:ilvl w:val="1"/>
                <w:numId w:val="44"/>
              </w:numPr>
              <w:spacing w:before="240" w:after="240"/>
              <w:ind w:hanging="244"/>
              <w:jc w:val="left"/>
            </w:pPr>
            <w:r>
              <w:t xml:space="preserve">Garanția </w:t>
            </w:r>
            <w:r>
              <w:t>neplafonată pentru IMM aflate în creștere - POIIMM</w:t>
            </w:r>
          </w:p>
          <w:p w:rsidR="00B31B05" w:rsidRDefault="00F9213F">
            <w:pPr>
              <w:numPr>
                <w:ilvl w:val="1"/>
                <w:numId w:val="44"/>
              </w:numPr>
              <w:spacing w:before="240" w:after="240"/>
              <w:ind w:hanging="244"/>
              <w:jc w:val="left"/>
            </w:pPr>
            <w:r>
              <w:t>Fonduri de investiții de capital (equity) pentru întreprinderi aflate în etapa de creștere - POR.</w:t>
            </w:r>
          </w:p>
          <w:p w:rsidR="00B31B05" w:rsidRDefault="00F9213F">
            <w:pPr>
              <w:spacing w:before="240" w:after="240"/>
              <w:jc w:val="left"/>
            </w:pPr>
            <w:r>
              <w:t xml:space="preserve">PNDR propune să susţină o schemă de garantare pentru IMM nonagricole din mediul rural beneficiare de grant </w:t>
            </w:r>
            <w:r>
              <w:t xml:space="preserve">pe priorităţile programului. POIIMM si garantia PNDR acţionează complementar, dat fiind ca </w:t>
            </w:r>
            <w:r>
              <w:lastRenderedPageBreak/>
              <w:t>agricultura primară nu este eligibilă pentru POIIMM. Actiunea complementară a celor doua instrumente este asigurată prin limitările inerente a celor două tipuri de a</w:t>
            </w:r>
            <w:r>
              <w:t>sistenţă, prin evitarea dublei finanţări şi regulile privind cumulul de ajutoare de stat şi de minimis. Beneficiarii POIIMM sunt IMM-urile non-agricole din mediul urban şi rural, pentru acele activități care nu sunt finanțate prin PNDR.</w:t>
            </w:r>
          </w:p>
          <w:p w:rsidR="00B31B05" w:rsidRDefault="00F9213F">
            <w:pPr>
              <w:spacing w:before="240" w:after="240"/>
              <w:jc w:val="left"/>
            </w:pPr>
            <w:r>
              <w:t>Pe baza experienţei</w:t>
            </w:r>
            <w:r>
              <w:t xml:space="preserve"> acestui tip de instrument, precum și a cererii exprimate de piața bancară față de IIMM (sectiunea 7), se poate estima că alocarea de 100 mil Euro FEDR va duce la acordarea de noi credite pentru IMM-uri cu o valoare totală minimă între 400 și 600 mil Euro,</w:t>
            </w:r>
            <w:r>
              <w:t xml:space="preserve"> pe baza unei rate de garantare de până la 80%. Valoarea-țintă a portofoliului de 600 mil Euro a fost estimată de FEI pe baza testării de piață cu băncile românești (sectiunea 7) și ia în considerare istoricul creditării, cât și așteptările pentru perioada</w:t>
            </w:r>
            <w:r>
              <w:t xml:space="preserve"> următoare exprimate de bănci. Portofoliul țintă de 600 mil Euro este calculat pe baza unei rate de garantare de 60%, a unei contribuții FESI de 100 mil Euro și a unor contribuții financiare corespunzătoare altor garantori participanți (CE, BEI și FEI).   </w:t>
            </w:r>
            <w:r>
              <w:t>  </w:t>
            </w:r>
          </w:p>
          <w:p w:rsidR="00227504" w:rsidRPr="00D6078B" w:rsidRDefault="00F9213F" w:rsidP="00717F20">
            <w:pPr>
              <w:pStyle w:val="Text1"/>
              <w:spacing w:before="60" w:after="60"/>
              <w:ind w:left="0"/>
              <w:jc w:val="left"/>
              <w:rPr>
                <w:sz w:val="18"/>
                <w:szCs w:val="18"/>
              </w:rPr>
            </w:pPr>
          </w:p>
        </w:tc>
      </w:tr>
    </w:tbl>
    <w:p w:rsidR="006E7339" w:rsidRDefault="00F9213F" w:rsidP="00227504">
      <w:pPr>
        <w:rPr>
          <w:color w:val="000000"/>
          <w:sz w:val="12"/>
          <w:szCs w:val="12"/>
        </w:rPr>
      </w:pPr>
    </w:p>
    <w:p w:rsidR="00A934EB" w:rsidRDefault="00F9213F" w:rsidP="00A934EB">
      <w:pPr>
        <w:jc w:val="left"/>
        <w:rPr>
          <w:b/>
          <w:color w:val="000000"/>
          <w:sz w:val="16"/>
          <w:szCs w:val="16"/>
        </w:rPr>
      </w:pPr>
      <w:r w:rsidRPr="001E50F1">
        <w:rPr>
          <w:b/>
        </w:rPr>
        <w:br w:type="page"/>
      </w:r>
      <w:r w:rsidRPr="00383B2E">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31B05" w:rsidTr="00D15CF9">
        <w:trPr>
          <w:trHeight w:val="288"/>
          <w:tblHeader/>
        </w:trPr>
        <w:tc>
          <w:tcPr>
            <w:tcW w:w="3544" w:type="dxa"/>
            <w:gridSpan w:val="2"/>
            <w:shd w:val="clear" w:color="auto" w:fill="auto"/>
          </w:tcPr>
          <w:p w:rsidR="00A934EB" w:rsidRPr="00D6078B" w:rsidRDefault="00F9213F" w:rsidP="003E6F4B">
            <w:pPr>
              <w:rPr>
                <w:b/>
                <w:sz w:val="18"/>
                <w:szCs w:val="18"/>
              </w:rPr>
            </w:pPr>
            <w:r>
              <w:rPr>
                <w:b/>
                <w:sz w:val="18"/>
                <w:szCs w:val="18"/>
              </w:rPr>
              <w:t>Obiectiv specific</w:t>
            </w:r>
          </w:p>
        </w:tc>
        <w:tc>
          <w:tcPr>
            <w:tcW w:w="11576" w:type="dxa"/>
            <w:gridSpan w:val="7"/>
            <w:shd w:val="clear" w:color="auto" w:fill="auto"/>
          </w:tcPr>
          <w:p w:rsidR="00A934EB" w:rsidRPr="00D6078B" w:rsidRDefault="00F9213F" w:rsidP="003E6F4B">
            <w:pPr>
              <w:rPr>
                <w:b/>
                <w:sz w:val="18"/>
                <w:szCs w:val="18"/>
              </w:rPr>
            </w:pPr>
            <w:r>
              <w:rPr>
                <w:b/>
                <w:sz w:val="18"/>
                <w:szCs w:val="18"/>
              </w:rPr>
              <w:t>OS 1 - Facilitarea accesului IMM-urilor la finanțare prin implementarea instrumentului de garantare neplafonată</w:t>
            </w:r>
          </w:p>
        </w:tc>
      </w:tr>
      <w:tr w:rsidR="00B31B05" w:rsidTr="00D15CF9">
        <w:trPr>
          <w:trHeight w:val="288"/>
          <w:tblHeader/>
        </w:trPr>
        <w:tc>
          <w:tcPr>
            <w:tcW w:w="990" w:type="dxa"/>
            <w:shd w:val="clear" w:color="auto" w:fill="auto"/>
          </w:tcPr>
          <w:p w:rsidR="00A934EB" w:rsidRPr="007B722E" w:rsidRDefault="00F9213F" w:rsidP="003E6F4B">
            <w:pPr>
              <w:jc w:val="center"/>
              <w:rPr>
                <w:b/>
                <w:sz w:val="16"/>
                <w:szCs w:val="16"/>
              </w:rPr>
            </w:pPr>
            <w:r>
              <w:rPr>
                <w:b/>
                <w:color w:val="000000"/>
                <w:sz w:val="16"/>
                <w:szCs w:val="16"/>
              </w:rPr>
              <w:t>ID</w:t>
            </w:r>
          </w:p>
        </w:tc>
        <w:tc>
          <w:tcPr>
            <w:tcW w:w="2554" w:type="dxa"/>
            <w:shd w:val="clear" w:color="auto" w:fill="auto"/>
          </w:tcPr>
          <w:p w:rsidR="00A934EB" w:rsidRPr="00530EF1" w:rsidRDefault="00F9213F" w:rsidP="003E6F4B">
            <w:pPr>
              <w:jc w:val="center"/>
              <w:rPr>
                <w:b/>
                <w:sz w:val="16"/>
                <w:szCs w:val="16"/>
              </w:rPr>
            </w:pPr>
            <w:r>
              <w:rPr>
                <w:b/>
                <w:color w:val="000000"/>
                <w:sz w:val="16"/>
                <w:szCs w:val="16"/>
              </w:rPr>
              <w:t>Indicator</w:t>
            </w:r>
          </w:p>
        </w:tc>
        <w:tc>
          <w:tcPr>
            <w:tcW w:w="1701" w:type="dxa"/>
            <w:shd w:val="clear" w:color="auto" w:fill="auto"/>
          </w:tcPr>
          <w:p w:rsidR="00A934EB" w:rsidRPr="00913A1A" w:rsidRDefault="00F9213F" w:rsidP="003E6F4B">
            <w:pPr>
              <w:jc w:val="center"/>
              <w:rPr>
                <w:b/>
                <w:sz w:val="16"/>
                <w:szCs w:val="16"/>
              </w:rPr>
            </w:pPr>
            <w:r>
              <w:rPr>
                <w:b/>
                <w:color w:val="000000"/>
                <w:sz w:val="16"/>
                <w:szCs w:val="16"/>
              </w:rPr>
              <w:t>Unitate de măsură</w:t>
            </w:r>
          </w:p>
        </w:tc>
        <w:tc>
          <w:tcPr>
            <w:tcW w:w="2268" w:type="dxa"/>
          </w:tcPr>
          <w:p w:rsidR="00A934EB" w:rsidRPr="007B722E" w:rsidRDefault="00F9213F" w:rsidP="003E6F4B">
            <w:pPr>
              <w:jc w:val="center"/>
              <w:rPr>
                <w:b/>
                <w:color w:val="000000"/>
                <w:sz w:val="16"/>
                <w:szCs w:val="16"/>
              </w:rPr>
            </w:pPr>
            <w:r>
              <w:rPr>
                <w:b/>
                <w:color w:val="000000"/>
                <w:sz w:val="16"/>
                <w:szCs w:val="16"/>
              </w:rPr>
              <w:t>Categoria regiunii (dacă este relevantă)</w:t>
            </w:r>
          </w:p>
        </w:tc>
        <w:tc>
          <w:tcPr>
            <w:tcW w:w="1985" w:type="dxa"/>
            <w:shd w:val="clear" w:color="auto" w:fill="auto"/>
          </w:tcPr>
          <w:p w:rsidR="00A934EB" w:rsidRPr="007B722E" w:rsidRDefault="00F9213F" w:rsidP="003E6F4B">
            <w:pPr>
              <w:jc w:val="center"/>
              <w:rPr>
                <w:b/>
                <w:sz w:val="16"/>
                <w:szCs w:val="16"/>
              </w:rPr>
            </w:pPr>
            <w:r>
              <w:rPr>
                <w:b/>
                <w:color w:val="000000"/>
                <w:sz w:val="16"/>
                <w:szCs w:val="16"/>
              </w:rPr>
              <w:t>Valoare de referință</w:t>
            </w:r>
          </w:p>
        </w:tc>
        <w:tc>
          <w:tcPr>
            <w:tcW w:w="992" w:type="dxa"/>
            <w:shd w:val="clear" w:color="auto" w:fill="auto"/>
          </w:tcPr>
          <w:p w:rsidR="00A934EB" w:rsidRPr="001D1F31" w:rsidRDefault="00F9213F" w:rsidP="003E6F4B">
            <w:pPr>
              <w:jc w:val="center"/>
              <w:rPr>
                <w:b/>
                <w:sz w:val="16"/>
                <w:szCs w:val="16"/>
              </w:rPr>
            </w:pPr>
            <w:r w:rsidRPr="00530EF1">
              <w:rPr>
                <w:b/>
                <w:color w:val="000000"/>
                <w:sz w:val="16"/>
                <w:szCs w:val="16"/>
              </w:rPr>
              <w:t>An de referință</w:t>
            </w:r>
          </w:p>
        </w:tc>
        <w:tc>
          <w:tcPr>
            <w:tcW w:w="2110" w:type="dxa"/>
            <w:shd w:val="clear" w:color="auto" w:fill="auto"/>
          </w:tcPr>
          <w:p w:rsidR="00A934EB" w:rsidRPr="007B722E" w:rsidRDefault="00F9213F" w:rsidP="003E6F4B">
            <w:pPr>
              <w:jc w:val="center"/>
              <w:rPr>
                <w:b/>
                <w:sz w:val="16"/>
                <w:szCs w:val="16"/>
              </w:rPr>
            </w:pPr>
            <w:r w:rsidRPr="00530EF1">
              <w:rPr>
                <w:b/>
                <w:color w:val="000000"/>
                <w:sz w:val="16"/>
                <w:szCs w:val="16"/>
              </w:rPr>
              <w:t>Valoarea-țintă (2023)</w:t>
            </w:r>
          </w:p>
        </w:tc>
        <w:tc>
          <w:tcPr>
            <w:tcW w:w="1260" w:type="dxa"/>
            <w:shd w:val="clear" w:color="auto" w:fill="auto"/>
          </w:tcPr>
          <w:p w:rsidR="00A934EB" w:rsidRPr="00530EF1" w:rsidRDefault="00F9213F" w:rsidP="003E6F4B">
            <w:pPr>
              <w:jc w:val="center"/>
              <w:rPr>
                <w:b/>
                <w:sz w:val="16"/>
                <w:szCs w:val="16"/>
              </w:rPr>
            </w:pPr>
            <w:r w:rsidRPr="00530EF1">
              <w:rPr>
                <w:b/>
                <w:color w:val="000000"/>
                <w:sz w:val="16"/>
                <w:szCs w:val="16"/>
              </w:rPr>
              <w:t>Sursa datelor</w:t>
            </w:r>
          </w:p>
        </w:tc>
        <w:tc>
          <w:tcPr>
            <w:tcW w:w="1260" w:type="dxa"/>
            <w:shd w:val="clear" w:color="auto" w:fill="auto"/>
          </w:tcPr>
          <w:p w:rsidR="00A934EB" w:rsidRPr="007B722E" w:rsidRDefault="00F9213F" w:rsidP="003E6F4B">
            <w:pPr>
              <w:jc w:val="center"/>
              <w:rPr>
                <w:b/>
                <w:sz w:val="16"/>
                <w:szCs w:val="16"/>
              </w:rPr>
            </w:pPr>
            <w:r w:rsidRPr="00530EF1">
              <w:rPr>
                <w:b/>
                <w:color w:val="000000"/>
                <w:sz w:val="16"/>
                <w:szCs w:val="16"/>
              </w:rPr>
              <w:t>Frecvența raportării</w:t>
            </w:r>
          </w:p>
        </w:tc>
      </w:tr>
      <w:tr w:rsidR="00B31B05" w:rsidTr="003E6F4B">
        <w:trPr>
          <w:trHeight w:val="288"/>
        </w:trPr>
        <w:tc>
          <w:tcPr>
            <w:tcW w:w="990" w:type="dxa"/>
            <w:shd w:val="clear" w:color="auto" w:fill="auto"/>
          </w:tcPr>
          <w:p w:rsidR="00A934EB" w:rsidRPr="0087147F" w:rsidRDefault="00F9213F" w:rsidP="003E6F4B">
            <w:pPr>
              <w:spacing w:before="60" w:after="60"/>
              <w:ind w:firstLine="1"/>
              <w:rPr>
                <w:sz w:val="16"/>
                <w:szCs w:val="16"/>
              </w:rPr>
            </w:pPr>
            <w:r w:rsidRPr="0087147F">
              <w:rPr>
                <w:sz w:val="16"/>
                <w:szCs w:val="16"/>
              </w:rPr>
              <w:t>S1</w:t>
            </w:r>
          </w:p>
        </w:tc>
        <w:tc>
          <w:tcPr>
            <w:tcW w:w="2554" w:type="dxa"/>
            <w:shd w:val="clear" w:color="auto" w:fill="auto"/>
          </w:tcPr>
          <w:p w:rsidR="00A934EB" w:rsidRPr="0087147F" w:rsidRDefault="00F9213F" w:rsidP="003E6F4B">
            <w:pPr>
              <w:spacing w:before="60" w:after="60"/>
              <w:jc w:val="left"/>
              <w:rPr>
                <w:sz w:val="16"/>
                <w:szCs w:val="16"/>
              </w:rPr>
            </w:pPr>
            <w:r w:rsidRPr="0087147F">
              <w:rPr>
                <w:color w:val="000000"/>
                <w:sz w:val="16"/>
                <w:szCs w:val="16"/>
                <w:lang w:val="da-DK"/>
              </w:rPr>
              <w:t xml:space="preserve">Proportia cererilor de credit reusite ale IMM (ie proportia IMM care au aplicat </w:t>
            </w:r>
            <w:r w:rsidRPr="0087147F">
              <w:rPr>
                <w:color w:val="000000"/>
                <w:sz w:val="16"/>
                <w:szCs w:val="16"/>
                <w:lang w:val="da-DK"/>
              </w:rPr>
              <w:t>pentru un imprumut bancar si au obtinut intreaga suma sau majoritatea acesteia)</w:t>
            </w:r>
          </w:p>
        </w:tc>
        <w:tc>
          <w:tcPr>
            <w:tcW w:w="1701" w:type="dxa"/>
            <w:shd w:val="clear" w:color="auto" w:fill="auto"/>
          </w:tcPr>
          <w:p w:rsidR="00A934EB" w:rsidRPr="0087147F" w:rsidRDefault="00F9213F" w:rsidP="003E6F4B">
            <w:pPr>
              <w:spacing w:before="60" w:after="60"/>
              <w:jc w:val="left"/>
              <w:rPr>
                <w:sz w:val="16"/>
                <w:szCs w:val="16"/>
              </w:rPr>
            </w:pPr>
            <w:r w:rsidRPr="0087147F">
              <w:rPr>
                <w:sz w:val="16"/>
                <w:szCs w:val="16"/>
              </w:rPr>
              <w:t>%</w:t>
            </w:r>
          </w:p>
        </w:tc>
        <w:tc>
          <w:tcPr>
            <w:tcW w:w="2268" w:type="dxa"/>
          </w:tcPr>
          <w:p w:rsidR="00A934EB" w:rsidRPr="0087147F" w:rsidRDefault="00F9213F" w:rsidP="003E6F4B">
            <w:pPr>
              <w:spacing w:before="60" w:after="60"/>
              <w:jc w:val="left"/>
              <w:rPr>
                <w:color w:val="000000"/>
                <w:sz w:val="16"/>
                <w:szCs w:val="16"/>
                <w:lang w:val="da-DK"/>
              </w:rPr>
            </w:pPr>
          </w:p>
        </w:tc>
        <w:tc>
          <w:tcPr>
            <w:tcW w:w="1985" w:type="dxa"/>
            <w:shd w:val="clear" w:color="auto" w:fill="auto"/>
          </w:tcPr>
          <w:p w:rsidR="00A934EB" w:rsidRPr="0087147F" w:rsidRDefault="00F9213F" w:rsidP="003E6F4B">
            <w:pPr>
              <w:spacing w:before="60" w:after="60"/>
              <w:jc w:val="left"/>
              <w:rPr>
                <w:sz w:val="16"/>
                <w:szCs w:val="16"/>
              </w:rPr>
            </w:pPr>
            <w:r w:rsidRPr="0087147F">
              <w:rPr>
                <w:color w:val="000000"/>
                <w:sz w:val="16"/>
                <w:szCs w:val="16"/>
                <w:lang w:val="da-DK"/>
              </w:rPr>
              <w:t>63,00</w:t>
            </w:r>
          </w:p>
        </w:tc>
        <w:tc>
          <w:tcPr>
            <w:tcW w:w="992" w:type="dxa"/>
            <w:shd w:val="clear" w:color="auto" w:fill="auto"/>
          </w:tcPr>
          <w:p w:rsidR="00A934EB" w:rsidRPr="0087147F" w:rsidRDefault="00F9213F" w:rsidP="003E6F4B">
            <w:pPr>
              <w:spacing w:before="60" w:after="60"/>
              <w:jc w:val="center"/>
              <w:rPr>
                <w:sz w:val="16"/>
                <w:szCs w:val="16"/>
              </w:rPr>
            </w:pPr>
            <w:r w:rsidRPr="0087147F">
              <w:rPr>
                <w:color w:val="000000"/>
                <w:sz w:val="16"/>
                <w:szCs w:val="16"/>
                <w:lang w:val="da-DK"/>
              </w:rPr>
              <w:t>2015</w:t>
            </w:r>
          </w:p>
        </w:tc>
        <w:tc>
          <w:tcPr>
            <w:tcW w:w="2110" w:type="dxa"/>
            <w:shd w:val="clear" w:color="auto" w:fill="auto"/>
          </w:tcPr>
          <w:p w:rsidR="00A934EB" w:rsidRPr="0087147F" w:rsidRDefault="00F9213F" w:rsidP="003E6F4B">
            <w:pPr>
              <w:spacing w:before="60" w:after="60"/>
              <w:jc w:val="left"/>
              <w:rPr>
                <w:sz w:val="16"/>
                <w:szCs w:val="16"/>
              </w:rPr>
            </w:pPr>
            <w:r w:rsidRPr="0087147F">
              <w:rPr>
                <w:color w:val="000000"/>
                <w:sz w:val="16"/>
                <w:szCs w:val="16"/>
                <w:lang w:val="da-DK"/>
              </w:rPr>
              <w:t>66,00</w:t>
            </w:r>
          </w:p>
        </w:tc>
        <w:tc>
          <w:tcPr>
            <w:tcW w:w="1260" w:type="dxa"/>
            <w:shd w:val="clear" w:color="auto" w:fill="auto"/>
          </w:tcPr>
          <w:p w:rsidR="00A934EB" w:rsidRPr="0087147F" w:rsidRDefault="00F9213F" w:rsidP="003E6F4B">
            <w:pPr>
              <w:spacing w:before="60" w:after="60"/>
              <w:jc w:val="left"/>
              <w:rPr>
                <w:sz w:val="16"/>
                <w:szCs w:val="16"/>
              </w:rPr>
            </w:pPr>
            <w:r w:rsidRPr="0087147F">
              <w:rPr>
                <w:color w:val="000000"/>
                <w:sz w:val="16"/>
                <w:szCs w:val="16"/>
                <w:lang w:val="da-DK"/>
              </w:rPr>
              <w:t>Comisia Europeana – sondajul SAFE  (Survey on the Access to Finance of Enterprise)</w:t>
            </w:r>
          </w:p>
        </w:tc>
        <w:tc>
          <w:tcPr>
            <w:tcW w:w="1260" w:type="dxa"/>
            <w:shd w:val="clear" w:color="auto" w:fill="auto"/>
          </w:tcPr>
          <w:p w:rsidR="00A934EB" w:rsidRPr="0087147F" w:rsidRDefault="00F9213F" w:rsidP="003E6F4B">
            <w:pPr>
              <w:pStyle w:val="Text2"/>
              <w:spacing w:before="60" w:after="60"/>
              <w:ind w:left="0"/>
              <w:jc w:val="left"/>
              <w:rPr>
                <w:sz w:val="16"/>
                <w:szCs w:val="16"/>
              </w:rPr>
            </w:pPr>
            <w:r w:rsidRPr="0087147F">
              <w:rPr>
                <w:sz w:val="16"/>
                <w:szCs w:val="16"/>
              </w:rPr>
              <w:t>Anuală</w:t>
            </w:r>
          </w:p>
        </w:tc>
      </w:tr>
      <w:tr w:rsidR="00B31B05" w:rsidTr="003E6F4B">
        <w:trPr>
          <w:trHeight w:val="288"/>
        </w:trPr>
        <w:tc>
          <w:tcPr>
            <w:tcW w:w="990" w:type="dxa"/>
            <w:shd w:val="clear" w:color="auto" w:fill="auto"/>
          </w:tcPr>
          <w:p w:rsidR="00A934EB" w:rsidRPr="0087147F" w:rsidRDefault="00F9213F" w:rsidP="003E6F4B">
            <w:pPr>
              <w:spacing w:before="60" w:after="60"/>
              <w:ind w:firstLine="1"/>
              <w:rPr>
                <w:sz w:val="16"/>
                <w:szCs w:val="16"/>
              </w:rPr>
            </w:pPr>
            <w:r w:rsidRPr="0087147F">
              <w:rPr>
                <w:sz w:val="16"/>
                <w:szCs w:val="16"/>
              </w:rPr>
              <w:t>S2</w:t>
            </w:r>
          </w:p>
        </w:tc>
        <w:tc>
          <w:tcPr>
            <w:tcW w:w="2554" w:type="dxa"/>
            <w:shd w:val="clear" w:color="auto" w:fill="auto"/>
          </w:tcPr>
          <w:p w:rsidR="00A934EB" w:rsidRPr="0087147F" w:rsidRDefault="00F9213F" w:rsidP="003E6F4B">
            <w:pPr>
              <w:spacing w:before="60" w:after="60"/>
              <w:jc w:val="left"/>
              <w:rPr>
                <w:sz w:val="16"/>
                <w:szCs w:val="16"/>
              </w:rPr>
            </w:pPr>
            <w:r w:rsidRPr="0087147F">
              <w:rPr>
                <w:color w:val="000000"/>
                <w:sz w:val="16"/>
                <w:szCs w:val="16"/>
                <w:lang w:val="da-DK"/>
              </w:rPr>
              <w:t>Creşterea cifrei de afaceri a IMM (număr de salariaţi 0-249)</w:t>
            </w:r>
          </w:p>
        </w:tc>
        <w:tc>
          <w:tcPr>
            <w:tcW w:w="1701" w:type="dxa"/>
            <w:shd w:val="clear" w:color="auto" w:fill="auto"/>
          </w:tcPr>
          <w:p w:rsidR="00A934EB" w:rsidRPr="0087147F" w:rsidRDefault="00F9213F" w:rsidP="003E6F4B">
            <w:pPr>
              <w:spacing w:before="60" w:after="60"/>
              <w:jc w:val="left"/>
              <w:rPr>
                <w:sz w:val="16"/>
                <w:szCs w:val="16"/>
              </w:rPr>
            </w:pPr>
            <w:r w:rsidRPr="0087147F">
              <w:rPr>
                <w:sz w:val="16"/>
                <w:szCs w:val="16"/>
              </w:rPr>
              <w:t>Milioane Lei</w:t>
            </w:r>
          </w:p>
        </w:tc>
        <w:tc>
          <w:tcPr>
            <w:tcW w:w="2268" w:type="dxa"/>
          </w:tcPr>
          <w:p w:rsidR="00A934EB" w:rsidRPr="0087147F" w:rsidRDefault="00F9213F" w:rsidP="003E6F4B">
            <w:pPr>
              <w:spacing w:before="60" w:after="60"/>
              <w:jc w:val="left"/>
              <w:rPr>
                <w:color w:val="000000"/>
                <w:sz w:val="16"/>
                <w:szCs w:val="16"/>
                <w:lang w:val="da-DK"/>
              </w:rPr>
            </w:pPr>
          </w:p>
        </w:tc>
        <w:tc>
          <w:tcPr>
            <w:tcW w:w="1985" w:type="dxa"/>
            <w:shd w:val="clear" w:color="auto" w:fill="auto"/>
          </w:tcPr>
          <w:p w:rsidR="00A934EB" w:rsidRPr="0087147F" w:rsidRDefault="00F9213F" w:rsidP="003E6F4B">
            <w:pPr>
              <w:spacing w:before="60" w:after="60"/>
              <w:jc w:val="left"/>
              <w:rPr>
                <w:sz w:val="16"/>
                <w:szCs w:val="16"/>
              </w:rPr>
            </w:pPr>
            <w:r w:rsidRPr="0087147F">
              <w:rPr>
                <w:color w:val="000000"/>
                <w:sz w:val="16"/>
                <w:szCs w:val="16"/>
                <w:lang w:val="da-DK"/>
              </w:rPr>
              <w:t>608.805,00</w:t>
            </w:r>
          </w:p>
        </w:tc>
        <w:tc>
          <w:tcPr>
            <w:tcW w:w="992" w:type="dxa"/>
            <w:shd w:val="clear" w:color="auto" w:fill="auto"/>
          </w:tcPr>
          <w:p w:rsidR="00A934EB" w:rsidRPr="0087147F" w:rsidRDefault="00F9213F" w:rsidP="003E6F4B">
            <w:pPr>
              <w:spacing w:before="60" w:after="60"/>
              <w:jc w:val="center"/>
              <w:rPr>
                <w:sz w:val="16"/>
                <w:szCs w:val="16"/>
              </w:rPr>
            </w:pPr>
            <w:r w:rsidRPr="0087147F">
              <w:rPr>
                <w:color w:val="000000"/>
                <w:sz w:val="16"/>
                <w:szCs w:val="16"/>
                <w:lang w:val="da-DK"/>
              </w:rPr>
              <w:t>2013</w:t>
            </w:r>
          </w:p>
        </w:tc>
        <w:tc>
          <w:tcPr>
            <w:tcW w:w="2110" w:type="dxa"/>
            <w:shd w:val="clear" w:color="auto" w:fill="auto"/>
          </w:tcPr>
          <w:p w:rsidR="00A934EB" w:rsidRPr="0087147F" w:rsidRDefault="00F9213F" w:rsidP="003E6F4B">
            <w:pPr>
              <w:spacing w:before="60" w:after="60"/>
              <w:jc w:val="left"/>
              <w:rPr>
                <w:sz w:val="16"/>
                <w:szCs w:val="16"/>
              </w:rPr>
            </w:pPr>
            <w:r w:rsidRPr="0087147F">
              <w:rPr>
                <w:color w:val="000000"/>
                <w:sz w:val="16"/>
                <w:szCs w:val="16"/>
                <w:lang w:val="da-DK"/>
              </w:rPr>
              <w:t>991.679,00</w:t>
            </w:r>
          </w:p>
        </w:tc>
        <w:tc>
          <w:tcPr>
            <w:tcW w:w="1260" w:type="dxa"/>
            <w:shd w:val="clear" w:color="auto" w:fill="auto"/>
          </w:tcPr>
          <w:p w:rsidR="00A934EB" w:rsidRPr="0087147F" w:rsidRDefault="00F9213F" w:rsidP="003E6F4B">
            <w:pPr>
              <w:spacing w:before="60" w:after="60"/>
              <w:jc w:val="left"/>
              <w:rPr>
                <w:sz w:val="16"/>
                <w:szCs w:val="16"/>
              </w:rPr>
            </w:pPr>
            <w:r w:rsidRPr="0087147F">
              <w:rPr>
                <w:color w:val="000000"/>
                <w:sz w:val="16"/>
                <w:szCs w:val="16"/>
                <w:lang w:val="da-DK"/>
              </w:rPr>
              <w:t>Institutul Naţional de Statistică</w:t>
            </w:r>
          </w:p>
        </w:tc>
        <w:tc>
          <w:tcPr>
            <w:tcW w:w="1260" w:type="dxa"/>
            <w:shd w:val="clear" w:color="auto" w:fill="auto"/>
          </w:tcPr>
          <w:p w:rsidR="00A934EB" w:rsidRPr="0087147F" w:rsidRDefault="00F9213F" w:rsidP="003E6F4B">
            <w:pPr>
              <w:pStyle w:val="Text2"/>
              <w:spacing w:before="60" w:after="60"/>
              <w:ind w:left="0"/>
              <w:jc w:val="left"/>
              <w:rPr>
                <w:sz w:val="16"/>
                <w:szCs w:val="16"/>
              </w:rPr>
            </w:pPr>
            <w:r w:rsidRPr="0087147F">
              <w:rPr>
                <w:sz w:val="16"/>
                <w:szCs w:val="16"/>
              </w:rPr>
              <w:t>La fiecare doi ani</w:t>
            </w:r>
          </w:p>
        </w:tc>
      </w:tr>
    </w:tbl>
    <w:p w:rsidR="00AA3FFE" w:rsidRDefault="00F9213F" w:rsidP="00227504">
      <w:pPr>
        <w:rPr>
          <w:b/>
          <w:lang w:val="pt-PT"/>
        </w:rPr>
      </w:pPr>
    </w:p>
    <w:p w:rsidR="00A934EB" w:rsidRDefault="00F9213F" w:rsidP="00227504">
      <w:pPr>
        <w:rPr>
          <w:b/>
        </w:rPr>
      </w:pPr>
      <w:r>
        <w:rPr>
          <w:b/>
          <w:lang w:val="pt-PT"/>
        </w:rPr>
        <w:br w:type="page"/>
      </w:r>
    </w:p>
    <w:p w:rsidR="00227504" w:rsidRPr="002C28A6" w:rsidRDefault="00F9213F" w:rsidP="009A634A">
      <w:pPr>
        <w:keepNext/>
        <w:keepLines/>
        <w:jc w:val="left"/>
      </w:pPr>
      <w:r w:rsidRPr="00412CBA">
        <w:rPr>
          <w:b/>
        </w:rPr>
        <w:t>2.A.6 Acțiunea care urmează să fie sprijinită în cadrul priorității de investiții</w:t>
      </w:r>
      <w:r>
        <w:t xml:space="preserve"> </w:t>
      </w:r>
      <w:r w:rsidRPr="002C28A6">
        <w:t>(pe prioritate de investiții)</w:t>
      </w:r>
    </w:p>
    <w:p w:rsidR="009D25D5" w:rsidRPr="00412CBA" w:rsidRDefault="00F9213F" w:rsidP="009A634A">
      <w:pPr>
        <w:keepNext/>
        <w:keepLines/>
        <w:jc w:val="left"/>
        <w:rPr>
          <w:b/>
        </w:rPr>
      </w:pPr>
    </w:p>
    <w:p w:rsidR="00227504" w:rsidRDefault="00F9213F" w:rsidP="009A634A">
      <w:pPr>
        <w:pStyle w:val="ManualHeading3"/>
        <w:keepLines/>
        <w:rPr>
          <w:b w:val="0"/>
        </w:rPr>
      </w:pPr>
      <w:r>
        <w:rPr>
          <w:b w:val="0"/>
        </w:rPr>
        <w:t xml:space="preserve">2.A.6.5 Indicatorii de realizare pe </w:t>
      </w:r>
      <w:r>
        <w:rPr>
          <w:b w:val="0"/>
        </w:rPr>
        <w:t>prioritate de investiție și, după caz, pe categorie de regiune</w:t>
      </w:r>
    </w:p>
    <w:p w:rsidR="009D25D5" w:rsidRPr="009D25D5" w:rsidRDefault="00F9213F" w:rsidP="009A634A">
      <w:pPr>
        <w:pStyle w:val="Text1"/>
        <w:keepNext/>
        <w:keepLines/>
        <w:ind w:left="0"/>
      </w:pPr>
    </w:p>
    <w:p w:rsidR="00227504" w:rsidRPr="00C23AD8" w:rsidRDefault="00F9213F" w:rsidP="009A634A">
      <w:pPr>
        <w:keepNext/>
        <w:keepLines/>
        <w:rPr>
          <w:b/>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31B05" w:rsidTr="00717F20">
        <w:trPr>
          <w:trHeight w:val="288"/>
          <w:tblHeader/>
        </w:trPr>
        <w:tc>
          <w:tcPr>
            <w:tcW w:w="2268" w:type="dxa"/>
            <w:gridSpan w:val="2"/>
            <w:shd w:val="clear" w:color="auto" w:fill="auto"/>
          </w:tcPr>
          <w:p w:rsidR="00227504" w:rsidRPr="00A15E2F" w:rsidRDefault="00F9213F" w:rsidP="00717F20">
            <w:pPr>
              <w:pStyle w:val="Heading3"/>
              <w:numPr>
                <w:ilvl w:val="0"/>
                <w:numId w:val="0"/>
              </w:numPr>
              <w:rPr>
                <w:b w:val="0"/>
                <w:i w:val="0"/>
                <w:color w:val="000000"/>
                <w:sz w:val="16"/>
                <w:szCs w:val="16"/>
              </w:rPr>
            </w:pPr>
            <w:r>
              <w:rPr>
                <w:b w:val="0"/>
                <w:i w:val="0"/>
                <w:color w:val="000000"/>
                <w:sz w:val="16"/>
                <w:szCs w:val="16"/>
              </w:rPr>
              <w:t xml:space="preserve">Prioritate de </w:t>
            </w:r>
            <w:r>
              <w:rPr>
                <w:b w:val="0"/>
                <w:i w:val="0"/>
                <w:color w:val="000000"/>
                <w:sz w:val="16"/>
                <w:szCs w:val="16"/>
              </w:rPr>
              <w:t>investiții</w:t>
            </w:r>
          </w:p>
        </w:tc>
        <w:tc>
          <w:tcPr>
            <w:tcW w:w="12852" w:type="dxa"/>
            <w:gridSpan w:val="8"/>
            <w:shd w:val="clear" w:color="auto" w:fill="auto"/>
          </w:tcPr>
          <w:p w:rsidR="00227504" w:rsidRPr="005D6B15" w:rsidRDefault="00F9213F" w:rsidP="00717F20">
            <w:pPr>
              <w:pStyle w:val="Heading3"/>
              <w:numPr>
                <w:ilvl w:val="0"/>
                <w:numId w:val="0"/>
              </w:numPr>
              <w:rPr>
                <w:b w:val="0"/>
                <w:i w:val="0"/>
                <w:color w:val="000000"/>
                <w:sz w:val="16"/>
                <w:szCs w:val="16"/>
              </w:rPr>
            </w:pPr>
            <w:r w:rsidRPr="005D6B15">
              <w:rPr>
                <w:b w:val="0"/>
                <w:i w:val="0"/>
                <w:color w:val="000000"/>
                <w:sz w:val="16"/>
                <w:szCs w:val="16"/>
              </w:rPr>
              <w:t>3d -  Sprijinirea capacității IMM-urilor de a se dezvolta pe piețele regionale, naționale și internaționale și de a se implica în procesele de inovare</w:t>
            </w:r>
          </w:p>
        </w:tc>
      </w:tr>
      <w:tr w:rsidR="00B31B05" w:rsidTr="00717F20">
        <w:trPr>
          <w:trHeight w:val="288"/>
          <w:tblHeader/>
        </w:trPr>
        <w:tc>
          <w:tcPr>
            <w:tcW w:w="900" w:type="dxa"/>
            <w:vMerge w:val="restart"/>
            <w:shd w:val="clear" w:color="auto" w:fill="auto"/>
          </w:tcPr>
          <w:p w:rsidR="00227504" w:rsidRPr="00870D13" w:rsidRDefault="00F9213F" w:rsidP="00717F20">
            <w:pPr>
              <w:jc w:val="center"/>
              <w:rPr>
                <w:b/>
                <w:color w:val="000000"/>
                <w:sz w:val="16"/>
                <w:szCs w:val="16"/>
              </w:rPr>
            </w:pPr>
            <w:r w:rsidRPr="00870D13">
              <w:rPr>
                <w:b/>
                <w:color w:val="000000"/>
                <w:sz w:val="16"/>
                <w:szCs w:val="16"/>
              </w:rPr>
              <w:t>ID</w:t>
            </w:r>
          </w:p>
        </w:tc>
        <w:tc>
          <w:tcPr>
            <w:tcW w:w="1368" w:type="dxa"/>
            <w:vMerge w:val="restart"/>
            <w:shd w:val="clear" w:color="auto" w:fill="auto"/>
          </w:tcPr>
          <w:p w:rsidR="00227504" w:rsidRPr="00870D13" w:rsidRDefault="00F9213F" w:rsidP="00717F20">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227504" w:rsidRPr="00870D13" w:rsidRDefault="00F9213F" w:rsidP="00717F20">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227504" w:rsidRPr="00870D13" w:rsidRDefault="00F9213F" w:rsidP="00717F20">
            <w:pPr>
              <w:jc w:val="center"/>
              <w:rPr>
                <w:b/>
                <w:color w:val="000000"/>
                <w:sz w:val="16"/>
                <w:szCs w:val="16"/>
              </w:rPr>
            </w:pPr>
            <w:r>
              <w:rPr>
                <w:b/>
                <w:color w:val="000000"/>
                <w:sz w:val="16"/>
                <w:szCs w:val="16"/>
              </w:rPr>
              <w:t>Fond</w:t>
            </w:r>
          </w:p>
        </w:tc>
        <w:tc>
          <w:tcPr>
            <w:tcW w:w="2551" w:type="dxa"/>
            <w:vMerge w:val="restart"/>
            <w:shd w:val="clear" w:color="auto" w:fill="auto"/>
          </w:tcPr>
          <w:p w:rsidR="00227504" w:rsidRPr="00870D13" w:rsidRDefault="00F9213F" w:rsidP="00717F20">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227504" w:rsidRPr="00870D13" w:rsidRDefault="00F9213F" w:rsidP="00717F20">
            <w:pPr>
              <w:jc w:val="center"/>
              <w:rPr>
                <w:b/>
                <w:color w:val="000000"/>
                <w:sz w:val="16"/>
                <w:szCs w:val="16"/>
              </w:rPr>
            </w:pPr>
            <w:r>
              <w:rPr>
                <w:b/>
                <w:color w:val="000000"/>
                <w:sz w:val="16"/>
                <w:szCs w:val="16"/>
              </w:rPr>
              <w:t xml:space="preserve">Valoarea-țintă </w:t>
            </w:r>
            <w:r>
              <w:rPr>
                <w:b/>
                <w:color w:val="000000"/>
                <w:sz w:val="16"/>
                <w:szCs w:val="16"/>
              </w:rPr>
              <w:t>(2023)</w:t>
            </w:r>
          </w:p>
        </w:tc>
        <w:tc>
          <w:tcPr>
            <w:tcW w:w="1276" w:type="dxa"/>
            <w:vMerge w:val="restart"/>
            <w:shd w:val="clear" w:color="auto" w:fill="auto"/>
          </w:tcPr>
          <w:p w:rsidR="00227504" w:rsidRPr="00870D13" w:rsidRDefault="00F9213F" w:rsidP="00717F20">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227504" w:rsidRPr="00870D13" w:rsidRDefault="00F9213F" w:rsidP="00717F20">
            <w:pPr>
              <w:jc w:val="center"/>
              <w:rPr>
                <w:b/>
                <w:color w:val="000000"/>
                <w:sz w:val="16"/>
                <w:szCs w:val="16"/>
              </w:rPr>
            </w:pPr>
            <w:r w:rsidRPr="00870D13">
              <w:rPr>
                <w:b/>
                <w:color w:val="000000"/>
                <w:sz w:val="16"/>
                <w:szCs w:val="16"/>
              </w:rPr>
              <w:t>Frecvența raportării</w:t>
            </w:r>
          </w:p>
        </w:tc>
      </w:tr>
      <w:tr w:rsidR="00B31B05" w:rsidTr="00717F20">
        <w:trPr>
          <w:trHeight w:val="288"/>
          <w:tblHeader/>
        </w:trPr>
        <w:tc>
          <w:tcPr>
            <w:tcW w:w="900" w:type="dxa"/>
            <w:vMerge/>
            <w:shd w:val="clear" w:color="auto" w:fill="auto"/>
          </w:tcPr>
          <w:p w:rsidR="00227504" w:rsidRPr="00870D13" w:rsidRDefault="00F9213F" w:rsidP="00717F20">
            <w:pPr>
              <w:jc w:val="center"/>
              <w:rPr>
                <w:b/>
                <w:color w:val="000000"/>
                <w:sz w:val="16"/>
                <w:szCs w:val="16"/>
              </w:rPr>
            </w:pPr>
          </w:p>
        </w:tc>
        <w:tc>
          <w:tcPr>
            <w:tcW w:w="1368" w:type="dxa"/>
            <w:vMerge/>
            <w:shd w:val="clear" w:color="auto" w:fill="auto"/>
          </w:tcPr>
          <w:p w:rsidR="00227504" w:rsidRPr="00870D13" w:rsidRDefault="00F9213F" w:rsidP="00717F20">
            <w:pPr>
              <w:jc w:val="center"/>
              <w:rPr>
                <w:b/>
                <w:color w:val="000000"/>
                <w:sz w:val="16"/>
                <w:szCs w:val="16"/>
              </w:rPr>
            </w:pPr>
          </w:p>
        </w:tc>
        <w:tc>
          <w:tcPr>
            <w:tcW w:w="1560" w:type="dxa"/>
            <w:vMerge/>
            <w:shd w:val="clear" w:color="auto" w:fill="auto"/>
          </w:tcPr>
          <w:p w:rsidR="00227504" w:rsidRPr="00870D13" w:rsidRDefault="00F9213F" w:rsidP="00717F20">
            <w:pPr>
              <w:jc w:val="center"/>
              <w:rPr>
                <w:b/>
                <w:color w:val="000000"/>
                <w:sz w:val="16"/>
                <w:szCs w:val="16"/>
              </w:rPr>
            </w:pPr>
          </w:p>
        </w:tc>
        <w:tc>
          <w:tcPr>
            <w:tcW w:w="1559" w:type="dxa"/>
            <w:vMerge/>
            <w:shd w:val="clear" w:color="auto" w:fill="auto"/>
          </w:tcPr>
          <w:p w:rsidR="00227504" w:rsidRPr="00870D13" w:rsidRDefault="00F9213F" w:rsidP="00717F20">
            <w:pPr>
              <w:jc w:val="center"/>
              <w:rPr>
                <w:b/>
                <w:color w:val="000000"/>
                <w:sz w:val="16"/>
                <w:szCs w:val="16"/>
              </w:rPr>
            </w:pPr>
          </w:p>
        </w:tc>
        <w:tc>
          <w:tcPr>
            <w:tcW w:w="2551" w:type="dxa"/>
            <w:vMerge/>
            <w:shd w:val="clear" w:color="auto" w:fill="auto"/>
          </w:tcPr>
          <w:p w:rsidR="00227504" w:rsidRPr="00870D13" w:rsidRDefault="00F9213F" w:rsidP="00717F20">
            <w:pPr>
              <w:jc w:val="center"/>
              <w:rPr>
                <w:b/>
                <w:color w:val="000000"/>
                <w:sz w:val="16"/>
                <w:szCs w:val="16"/>
              </w:rPr>
            </w:pPr>
          </w:p>
        </w:tc>
        <w:tc>
          <w:tcPr>
            <w:tcW w:w="1560" w:type="dxa"/>
            <w:shd w:val="clear" w:color="auto" w:fill="auto"/>
          </w:tcPr>
          <w:p w:rsidR="00227504" w:rsidRPr="00870D13" w:rsidRDefault="00F9213F" w:rsidP="00717F20">
            <w:pPr>
              <w:jc w:val="center"/>
              <w:rPr>
                <w:b/>
                <w:color w:val="000000"/>
                <w:sz w:val="16"/>
                <w:szCs w:val="16"/>
              </w:rPr>
            </w:pPr>
            <w:r>
              <w:rPr>
                <w:b/>
                <w:color w:val="000000"/>
                <w:sz w:val="16"/>
                <w:szCs w:val="16"/>
              </w:rPr>
              <w:t>B</w:t>
            </w:r>
          </w:p>
        </w:tc>
        <w:tc>
          <w:tcPr>
            <w:tcW w:w="1559" w:type="dxa"/>
            <w:shd w:val="clear" w:color="auto" w:fill="auto"/>
          </w:tcPr>
          <w:p w:rsidR="00227504" w:rsidRPr="00870D13" w:rsidRDefault="00F9213F" w:rsidP="00717F20">
            <w:pPr>
              <w:jc w:val="center"/>
              <w:rPr>
                <w:b/>
                <w:color w:val="000000"/>
                <w:sz w:val="16"/>
                <w:szCs w:val="16"/>
              </w:rPr>
            </w:pPr>
            <w:r>
              <w:rPr>
                <w:b/>
                <w:color w:val="000000"/>
                <w:sz w:val="16"/>
                <w:szCs w:val="16"/>
              </w:rPr>
              <w:t>F</w:t>
            </w:r>
          </w:p>
        </w:tc>
        <w:tc>
          <w:tcPr>
            <w:tcW w:w="1559" w:type="dxa"/>
            <w:shd w:val="clear" w:color="auto" w:fill="auto"/>
          </w:tcPr>
          <w:p w:rsidR="00227504" w:rsidRPr="00870D13" w:rsidRDefault="00F9213F" w:rsidP="00717F20">
            <w:pPr>
              <w:jc w:val="center"/>
              <w:rPr>
                <w:b/>
                <w:color w:val="000000"/>
                <w:sz w:val="16"/>
                <w:szCs w:val="16"/>
              </w:rPr>
            </w:pPr>
            <w:r>
              <w:rPr>
                <w:b/>
                <w:color w:val="000000"/>
                <w:sz w:val="16"/>
                <w:szCs w:val="16"/>
              </w:rPr>
              <w:t>T</w:t>
            </w:r>
          </w:p>
        </w:tc>
        <w:tc>
          <w:tcPr>
            <w:tcW w:w="1276" w:type="dxa"/>
            <w:vMerge/>
            <w:shd w:val="clear" w:color="auto" w:fill="auto"/>
          </w:tcPr>
          <w:p w:rsidR="00227504" w:rsidRPr="00870D13" w:rsidRDefault="00F9213F" w:rsidP="00717F20">
            <w:pPr>
              <w:jc w:val="center"/>
              <w:rPr>
                <w:b/>
                <w:color w:val="000000"/>
                <w:sz w:val="16"/>
                <w:szCs w:val="16"/>
              </w:rPr>
            </w:pPr>
          </w:p>
        </w:tc>
        <w:tc>
          <w:tcPr>
            <w:tcW w:w="1228" w:type="dxa"/>
            <w:vMerge/>
            <w:shd w:val="clear" w:color="auto" w:fill="auto"/>
          </w:tcPr>
          <w:p w:rsidR="00227504" w:rsidRPr="00870D13" w:rsidRDefault="00F9213F" w:rsidP="00717F20">
            <w:pPr>
              <w:jc w:val="center"/>
              <w:rPr>
                <w:b/>
                <w:color w:val="000000"/>
                <w:sz w:val="16"/>
                <w:szCs w:val="16"/>
              </w:rPr>
            </w:pPr>
          </w:p>
        </w:tc>
      </w:tr>
      <w:tr w:rsidR="00B31B05" w:rsidTr="00717F20">
        <w:trPr>
          <w:trHeight w:val="288"/>
        </w:trPr>
        <w:tc>
          <w:tcPr>
            <w:tcW w:w="900" w:type="dxa"/>
            <w:shd w:val="clear" w:color="auto" w:fill="auto"/>
          </w:tcPr>
          <w:p w:rsidR="000F2B84" w:rsidRPr="00013586" w:rsidRDefault="00F9213F" w:rsidP="00880358">
            <w:pPr>
              <w:jc w:val="left"/>
              <w:rPr>
                <w:color w:val="000000"/>
                <w:sz w:val="16"/>
                <w:szCs w:val="16"/>
              </w:rPr>
            </w:pPr>
            <w:r w:rsidRPr="00013586">
              <w:rPr>
                <w:color w:val="000000"/>
                <w:sz w:val="16"/>
                <w:szCs w:val="16"/>
              </w:rPr>
              <w:t>CO01</w:t>
            </w:r>
          </w:p>
        </w:tc>
        <w:tc>
          <w:tcPr>
            <w:tcW w:w="1368" w:type="dxa"/>
            <w:shd w:val="clear" w:color="auto" w:fill="auto"/>
          </w:tcPr>
          <w:p w:rsidR="000F2B84" w:rsidRPr="00870D13" w:rsidRDefault="00F9213F" w:rsidP="00880358">
            <w:pPr>
              <w:jc w:val="left"/>
              <w:rPr>
                <w:color w:val="000000"/>
                <w:sz w:val="16"/>
                <w:szCs w:val="16"/>
              </w:rPr>
            </w:pPr>
            <w:r>
              <w:rPr>
                <w:color w:val="000000"/>
                <w:sz w:val="16"/>
                <w:szCs w:val="16"/>
              </w:rPr>
              <w:t>Investiție productivă: Număr de societăți sprijinite</w:t>
            </w:r>
          </w:p>
        </w:tc>
        <w:tc>
          <w:tcPr>
            <w:tcW w:w="1560" w:type="dxa"/>
            <w:shd w:val="clear" w:color="auto" w:fill="auto"/>
          </w:tcPr>
          <w:p w:rsidR="000F2B84" w:rsidRPr="00870D13" w:rsidRDefault="00F9213F" w:rsidP="009A7FBC">
            <w:pPr>
              <w:jc w:val="left"/>
              <w:rPr>
                <w:color w:val="000000"/>
                <w:sz w:val="16"/>
                <w:szCs w:val="16"/>
              </w:rPr>
            </w:pPr>
            <w:r>
              <w:rPr>
                <w:color w:val="000000"/>
                <w:sz w:val="16"/>
                <w:szCs w:val="16"/>
              </w:rPr>
              <w:t>Întreprinderi</w:t>
            </w:r>
          </w:p>
        </w:tc>
        <w:tc>
          <w:tcPr>
            <w:tcW w:w="1559" w:type="dxa"/>
            <w:shd w:val="clear" w:color="auto" w:fill="auto"/>
          </w:tcPr>
          <w:p w:rsidR="000F2B84" w:rsidRPr="00DD3F83" w:rsidRDefault="00F9213F" w:rsidP="00880358">
            <w:pPr>
              <w:pStyle w:val="Text1"/>
              <w:ind w:left="0"/>
              <w:rPr>
                <w:color w:val="000000"/>
                <w:sz w:val="16"/>
                <w:szCs w:val="16"/>
                <w:highlight w:val="yellow"/>
              </w:rPr>
            </w:pPr>
            <w:r>
              <w:rPr>
                <w:color w:val="000000"/>
                <w:sz w:val="16"/>
                <w:szCs w:val="16"/>
              </w:rPr>
              <w:t>FEDR</w:t>
            </w:r>
          </w:p>
        </w:tc>
        <w:tc>
          <w:tcPr>
            <w:tcW w:w="2551" w:type="dxa"/>
            <w:shd w:val="clear" w:color="auto" w:fill="auto"/>
          </w:tcPr>
          <w:p w:rsidR="000F2B84" w:rsidRPr="00870D13" w:rsidRDefault="00F9213F" w:rsidP="00880358">
            <w:pPr>
              <w:jc w:val="left"/>
              <w:rPr>
                <w:color w:val="000000"/>
                <w:sz w:val="16"/>
                <w:szCs w:val="16"/>
              </w:rPr>
            </w:pPr>
            <w:r w:rsidRPr="00870D13">
              <w:rPr>
                <w:color w:val="000000"/>
                <w:sz w:val="16"/>
                <w:szCs w:val="16"/>
              </w:rPr>
              <w:t xml:space="preserve"> </w:t>
            </w:r>
          </w:p>
        </w:tc>
        <w:tc>
          <w:tcPr>
            <w:tcW w:w="1560" w:type="dxa"/>
            <w:shd w:val="clear" w:color="auto" w:fill="auto"/>
          </w:tcPr>
          <w:p w:rsidR="000F2B84" w:rsidRPr="00870D13" w:rsidRDefault="00F9213F" w:rsidP="00880358">
            <w:pPr>
              <w:jc w:val="right"/>
              <w:rPr>
                <w:color w:val="000000"/>
                <w:sz w:val="16"/>
                <w:szCs w:val="16"/>
              </w:rPr>
            </w:pPr>
          </w:p>
        </w:tc>
        <w:tc>
          <w:tcPr>
            <w:tcW w:w="1559" w:type="dxa"/>
            <w:shd w:val="clear" w:color="auto" w:fill="auto"/>
          </w:tcPr>
          <w:p w:rsidR="000F2B84" w:rsidRPr="00870D13" w:rsidRDefault="00F9213F" w:rsidP="00880358">
            <w:pPr>
              <w:jc w:val="right"/>
              <w:rPr>
                <w:color w:val="000000"/>
                <w:sz w:val="16"/>
                <w:szCs w:val="16"/>
              </w:rPr>
            </w:pPr>
          </w:p>
        </w:tc>
        <w:tc>
          <w:tcPr>
            <w:tcW w:w="1559" w:type="dxa"/>
            <w:shd w:val="clear" w:color="auto" w:fill="auto"/>
          </w:tcPr>
          <w:p w:rsidR="000F2B84" w:rsidRPr="00870D13" w:rsidRDefault="00F9213F" w:rsidP="00880358">
            <w:pPr>
              <w:jc w:val="right"/>
              <w:rPr>
                <w:color w:val="000000"/>
                <w:sz w:val="16"/>
                <w:szCs w:val="16"/>
              </w:rPr>
            </w:pPr>
            <w:r w:rsidRPr="00870D13">
              <w:rPr>
                <w:sz w:val="16"/>
                <w:szCs w:val="16"/>
              </w:rPr>
              <w:t>2.500,00</w:t>
            </w:r>
          </w:p>
        </w:tc>
        <w:tc>
          <w:tcPr>
            <w:tcW w:w="1276" w:type="dxa"/>
            <w:shd w:val="clear" w:color="auto" w:fill="auto"/>
          </w:tcPr>
          <w:p w:rsidR="000F2B84" w:rsidRPr="00870D13" w:rsidRDefault="00F9213F" w:rsidP="00880358">
            <w:pPr>
              <w:jc w:val="left"/>
              <w:rPr>
                <w:color w:val="000000"/>
                <w:sz w:val="16"/>
                <w:szCs w:val="16"/>
              </w:rPr>
            </w:pPr>
            <w:r w:rsidRPr="00870D13">
              <w:rPr>
                <w:sz w:val="16"/>
                <w:szCs w:val="16"/>
              </w:rPr>
              <w:t>Rapoarte de monitorizare transmise de FEI conform acordului de finanțare</w:t>
            </w:r>
          </w:p>
        </w:tc>
        <w:tc>
          <w:tcPr>
            <w:tcW w:w="1228" w:type="dxa"/>
            <w:shd w:val="clear" w:color="auto" w:fill="auto"/>
          </w:tcPr>
          <w:p w:rsidR="000F2B84" w:rsidRPr="00013586" w:rsidRDefault="00F9213F" w:rsidP="00686742">
            <w:pPr>
              <w:pStyle w:val="Text2"/>
              <w:ind w:left="0"/>
              <w:jc w:val="left"/>
              <w:rPr>
                <w:color w:val="000000"/>
                <w:sz w:val="16"/>
                <w:szCs w:val="16"/>
              </w:rPr>
            </w:pPr>
            <w:r w:rsidRPr="00013586">
              <w:rPr>
                <w:sz w:val="16"/>
                <w:szCs w:val="16"/>
              </w:rPr>
              <w:t>Anuală</w:t>
            </w:r>
          </w:p>
        </w:tc>
      </w:tr>
      <w:tr w:rsidR="00B31B05" w:rsidTr="00717F20">
        <w:trPr>
          <w:trHeight w:val="288"/>
        </w:trPr>
        <w:tc>
          <w:tcPr>
            <w:tcW w:w="900" w:type="dxa"/>
            <w:shd w:val="clear" w:color="auto" w:fill="auto"/>
          </w:tcPr>
          <w:p w:rsidR="000F2B84" w:rsidRPr="00013586" w:rsidRDefault="00F9213F" w:rsidP="00880358">
            <w:pPr>
              <w:jc w:val="left"/>
              <w:rPr>
                <w:color w:val="000000"/>
                <w:sz w:val="16"/>
                <w:szCs w:val="16"/>
              </w:rPr>
            </w:pPr>
            <w:r w:rsidRPr="00013586">
              <w:rPr>
                <w:color w:val="000000"/>
                <w:sz w:val="16"/>
                <w:szCs w:val="16"/>
              </w:rPr>
              <w:t>CO03</w:t>
            </w:r>
          </w:p>
        </w:tc>
        <w:tc>
          <w:tcPr>
            <w:tcW w:w="1368" w:type="dxa"/>
            <w:shd w:val="clear" w:color="auto" w:fill="auto"/>
          </w:tcPr>
          <w:p w:rsidR="000F2B84" w:rsidRPr="00870D13" w:rsidRDefault="00F9213F" w:rsidP="00880358">
            <w:pPr>
              <w:jc w:val="left"/>
              <w:rPr>
                <w:color w:val="000000"/>
                <w:sz w:val="16"/>
                <w:szCs w:val="16"/>
              </w:rPr>
            </w:pPr>
            <w:r>
              <w:rPr>
                <w:color w:val="000000"/>
                <w:sz w:val="16"/>
                <w:szCs w:val="16"/>
              </w:rPr>
              <w:t xml:space="preserve">Investiție productivă: </w:t>
            </w:r>
            <w:r>
              <w:rPr>
                <w:color w:val="000000"/>
                <w:sz w:val="16"/>
                <w:szCs w:val="16"/>
              </w:rPr>
              <w:t>Număr de societăți care beneficiază de sprijin financiar, altul decât granturile</w:t>
            </w:r>
          </w:p>
        </w:tc>
        <w:tc>
          <w:tcPr>
            <w:tcW w:w="1560" w:type="dxa"/>
            <w:shd w:val="clear" w:color="auto" w:fill="auto"/>
          </w:tcPr>
          <w:p w:rsidR="000F2B84" w:rsidRPr="00870D13" w:rsidRDefault="00F9213F" w:rsidP="009A7FBC">
            <w:pPr>
              <w:jc w:val="left"/>
              <w:rPr>
                <w:color w:val="000000"/>
                <w:sz w:val="16"/>
                <w:szCs w:val="16"/>
              </w:rPr>
            </w:pPr>
            <w:r>
              <w:rPr>
                <w:color w:val="000000"/>
                <w:sz w:val="16"/>
                <w:szCs w:val="16"/>
              </w:rPr>
              <w:t>Întreprinderi</w:t>
            </w:r>
          </w:p>
        </w:tc>
        <w:tc>
          <w:tcPr>
            <w:tcW w:w="1559" w:type="dxa"/>
            <w:shd w:val="clear" w:color="auto" w:fill="auto"/>
          </w:tcPr>
          <w:p w:rsidR="000F2B84" w:rsidRPr="00DD3F83" w:rsidRDefault="00F9213F" w:rsidP="00880358">
            <w:pPr>
              <w:pStyle w:val="Text1"/>
              <w:ind w:left="0"/>
              <w:rPr>
                <w:color w:val="000000"/>
                <w:sz w:val="16"/>
                <w:szCs w:val="16"/>
                <w:highlight w:val="yellow"/>
              </w:rPr>
            </w:pPr>
            <w:r>
              <w:rPr>
                <w:color w:val="000000"/>
                <w:sz w:val="16"/>
                <w:szCs w:val="16"/>
              </w:rPr>
              <w:t>FEDR</w:t>
            </w:r>
          </w:p>
        </w:tc>
        <w:tc>
          <w:tcPr>
            <w:tcW w:w="2551" w:type="dxa"/>
            <w:shd w:val="clear" w:color="auto" w:fill="auto"/>
          </w:tcPr>
          <w:p w:rsidR="000F2B84" w:rsidRPr="00870D13" w:rsidRDefault="00F9213F" w:rsidP="00880358">
            <w:pPr>
              <w:jc w:val="left"/>
              <w:rPr>
                <w:color w:val="000000"/>
                <w:sz w:val="16"/>
                <w:szCs w:val="16"/>
              </w:rPr>
            </w:pPr>
            <w:r w:rsidRPr="00870D13">
              <w:rPr>
                <w:color w:val="000000"/>
                <w:sz w:val="16"/>
                <w:szCs w:val="16"/>
              </w:rPr>
              <w:t xml:space="preserve"> </w:t>
            </w:r>
          </w:p>
        </w:tc>
        <w:tc>
          <w:tcPr>
            <w:tcW w:w="1560" w:type="dxa"/>
            <w:shd w:val="clear" w:color="auto" w:fill="auto"/>
          </w:tcPr>
          <w:p w:rsidR="000F2B84" w:rsidRPr="00870D13" w:rsidRDefault="00F9213F" w:rsidP="00880358">
            <w:pPr>
              <w:jc w:val="right"/>
              <w:rPr>
                <w:color w:val="000000"/>
                <w:sz w:val="16"/>
                <w:szCs w:val="16"/>
              </w:rPr>
            </w:pPr>
          </w:p>
        </w:tc>
        <w:tc>
          <w:tcPr>
            <w:tcW w:w="1559" w:type="dxa"/>
            <w:shd w:val="clear" w:color="auto" w:fill="auto"/>
          </w:tcPr>
          <w:p w:rsidR="000F2B84" w:rsidRPr="00870D13" w:rsidRDefault="00F9213F" w:rsidP="00880358">
            <w:pPr>
              <w:jc w:val="right"/>
              <w:rPr>
                <w:color w:val="000000"/>
                <w:sz w:val="16"/>
                <w:szCs w:val="16"/>
              </w:rPr>
            </w:pPr>
          </w:p>
        </w:tc>
        <w:tc>
          <w:tcPr>
            <w:tcW w:w="1559" w:type="dxa"/>
            <w:shd w:val="clear" w:color="auto" w:fill="auto"/>
          </w:tcPr>
          <w:p w:rsidR="000F2B84" w:rsidRPr="00870D13" w:rsidRDefault="00F9213F" w:rsidP="00880358">
            <w:pPr>
              <w:jc w:val="right"/>
              <w:rPr>
                <w:color w:val="000000"/>
                <w:sz w:val="16"/>
                <w:szCs w:val="16"/>
              </w:rPr>
            </w:pPr>
            <w:r w:rsidRPr="00870D13">
              <w:rPr>
                <w:sz w:val="16"/>
                <w:szCs w:val="16"/>
              </w:rPr>
              <w:t>2.500,00</w:t>
            </w:r>
          </w:p>
        </w:tc>
        <w:tc>
          <w:tcPr>
            <w:tcW w:w="1276" w:type="dxa"/>
            <w:shd w:val="clear" w:color="auto" w:fill="auto"/>
          </w:tcPr>
          <w:p w:rsidR="000F2B84" w:rsidRPr="00870D13" w:rsidRDefault="00F9213F" w:rsidP="00880358">
            <w:pPr>
              <w:jc w:val="left"/>
              <w:rPr>
                <w:color w:val="000000"/>
                <w:sz w:val="16"/>
                <w:szCs w:val="16"/>
              </w:rPr>
            </w:pPr>
            <w:r w:rsidRPr="00870D13">
              <w:rPr>
                <w:sz w:val="16"/>
                <w:szCs w:val="16"/>
              </w:rPr>
              <w:t>Rapoarte de monitorizare transmise de FEI conform acordului de finanțare</w:t>
            </w:r>
          </w:p>
        </w:tc>
        <w:tc>
          <w:tcPr>
            <w:tcW w:w="1228" w:type="dxa"/>
            <w:shd w:val="clear" w:color="auto" w:fill="auto"/>
          </w:tcPr>
          <w:p w:rsidR="000F2B84" w:rsidRPr="00013586" w:rsidRDefault="00F9213F" w:rsidP="00686742">
            <w:pPr>
              <w:pStyle w:val="Text2"/>
              <w:ind w:left="0"/>
              <w:jc w:val="left"/>
              <w:rPr>
                <w:color w:val="000000"/>
                <w:sz w:val="16"/>
                <w:szCs w:val="16"/>
              </w:rPr>
            </w:pPr>
            <w:r w:rsidRPr="00013586">
              <w:rPr>
                <w:sz w:val="16"/>
                <w:szCs w:val="16"/>
              </w:rPr>
              <w:t>Anuală</w:t>
            </w:r>
          </w:p>
        </w:tc>
      </w:tr>
      <w:tr w:rsidR="00B31B05" w:rsidTr="00717F20">
        <w:trPr>
          <w:trHeight w:val="288"/>
        </w:trPr>
        <w:tc>
          <w:tcPr>
            <w:tcW w:w="900" w:type="dxa"/>
            <w:shd w:val="clear" w:color="auto" w:fill="auto"/>
          </w:tcPr>
          <w:p w:rsidR="000F2B84" w:rsidRPr="00013586" w:rsidRDefault="00F9213F" w:rsidP="00880358">
            <w:pPr>
              <w:jc w:val="left"/>
              <w:rPr>
                <w:color w:val="000000"/>
                <w:sz w:val="16"/>
                <w:szCs w:val="16"/>
              </w:rPr>
            </w:pPr>
            <w:r w:rsidRPr="00013586">
              <w:rPr>
                <w:color w:val="000000"/>
                <w:sz w:val="16"/>
                <w:szCs w:val="16"/>
              </w:rPr>
              <w:t>CO07</w:t>
            </w:r>
          </w:p>
        </w:tc>
        <w:tc>
          <w:tcPr>
            <w:tcW w:w="1368" w:type="dxa"/>
            <w:shd w:val="clear" w:color="auto" w:fill="auto"/>
          </w:tcPr>
          <w:p w:rsidR="000F2B84" w:rsidRPr="00870D13" w:rsidRDefault="00F9213F" w:rsidP="00880358">
            <w:pPr>
              <w:jc w:val="left"/>
              <w:rPr>
                <w:color w:val="000000"/>
                <w:sz w:val="16"/>
                <w:szCs w:val="16"/>
              </w:rPr>
            </w:pPr>
            <w:r>
              <w:rPr>
                <w:color w:val="000000"/>
                <w:sz w:val="16"/>
                <w:szCs w:val="16"/>
              </w:rPr>
              <w:t xml:space="preserve">Investiție productivă: Investiții private combinate cu </w:t>
            </w:r>
            <w:r>
              <w:rPr>
                <w:color w:val="000000"/>
                <w:sz w:val="16"/>
                <w:szCs w:val="16"/>
              </w:rPr>
              <w:lastRenderedPageBreak/>
              <w:t>sprijinul public pentru întreprinderi (altele decât granturile)</w:t>
            </w:r>
          </w:p>
        </w:tc>
        <w:tc>
          <w:tcPr>
            <w:tcW w:w="1560" w:type="dxa"/>
            <w:shd w:val="clear" w:color="auto" w:fill="auto"/>
          </w:tcPr>
          <w:p w:rsidR="000F2B84" w:rsidRPr="00870D13" w:rsidRDefault="00F9213F" w:rsidP="009A7FBC">
            <w:pPr>
              <w:jc w:val="left"/>
              <w:rPr>
                <w:color w:val="000000"/>
                <w:sz w:val="16"/>
                <w:szCs w:val="16"/>
              </w:rPr>
            </w:pPr>
            <w:r>
              <w:rPr>
                <w:color w:val="000000"/>
                <w:sz w:val="16"/>
                <w:szCs w:val="16"/>
              </w:rPr>
              <w:lastRenderedPageBreak/>
              <w:t>în EUR</w:t>
            </w:r>
          </w:p>
        </w:tc>
        <w:tc>
          <w:tcPr>
            <w:tcW w:w="1559" w:type="dxa"/>
            <w:shd w:val="clear" w:color="auto" w:fill="auto"/>
          </w:tcPr>
          <w:p w:rsidR="000F2B84" w:rsidRPr="00DD3F83" w:rsidRDefault="00F9213F" w:rsidP="00880358">
            <w:pPr>
              <w:pStyle w:val="Text1"/>
              <w:ind w:left="0"/>
              <w:rPr>
                <w:color w:val="000000"/>
                <w:sz w:val="16"/>
                <w:szCs w:val="16"/>
                <w:highlight w:val="yellow"/>
              </w:rPr>
            </w:pPr>
            <w:r>
              <w:rPr>
                <w:color w:val="000000"/>
                <w:sz w:val="16"/>
                <w:szCs w:val="16"/>
              </w:rPr>
              <w:t>FEDR</w:t>
            </w:r>
          </w:p>
        </w:tc>
        <w:tc>
          <w:tcPr>
            <w:tcW w:w="2551" w:type="dxa"/>
            <w:shd w:val="clear" w:color="auto" w:fill="auto"/>
          </w:tcPr>
          <w:p w:rsidR="000F2B84" w:rsidRPr="00870D13" w:rsidRDefault="00F9213F" w:rsidP="00880358">
            <w:pPr>
              <w:jc w:val="left"/>
              <w:rPr>
                <w:color w:val="000000"/>
                <w:sz w:val="16"/>
                <w:szCs w:val="16"/>
              </w:rPr>
            </w:pPr>
            <w:r w:rsidRPr="00870D13">
              <w:rPr>
                <w:color w:val="000000"/>
                <w:sz w:val="16"/>
                <w:szCs w:val="16"/>
              </w:rPr>
              <w:t xml:space="preserve"> </w:t>
            </w:r>
          </w:p>
        </w:tc>
        <w:tc>
          <w:tcPr>
            <w:tcW w:w="1560" w:type="dxa"/>
            <w:shd w:val="clear" w:color="auto" w:fill="auto"/>
          </w:tcPr>
          <w:p w:rsidR="000F2B84" w:rsidRPr="00870D13" w:rsidRDefault="00F9213F" w:rsidP="00880358">
            <w:pPr>
              <w:jc w:val="right"/>
              <w:rPr>
                <w:color w:val="000000"/>
                <w:sz w:val="16"/>
                <w:szCs w:val="16"/>
              </w:rPr>
            </w:pPr>
          </w:p>
        </w:tc>
        <w:tc>
          <w:tcPr>
            <w:tcW w:w="1559" w:type="dxa"/>
            <w:shd w:val="clear" w:color="auto" w:fill="auto"/>
          </w:tcPr>
          <w:p w:rsidR="000F2B84" w:rsidRPr="00870D13" w:rsidRDefault="00F9213F" w:rsidP="00880358">
            <w:pPr>
              <w:jc w:val="right"/>
              <w:rPr>
                <w:color w:val="000000"/>
                <w:sz w:val="16"/>
                <w:szCs w:val="16"/>
              </w:rPr>
            </w:pPr>
          </w:p>
        </w:tc>
        <w:tc>
          <w:tcPr>
            <w:tcW w:w="1559" w:type="dxa"/>
            <w:shd w:val="clear" w:color="auto" w:fill="auto"/>
          </w:tcPr>
          <w:p w:rsidR="000F2B84" w:rsidRPr="00870D13" w:rsidRDefault="00F9213F" w:rsidP="00880358">
            <w:pPr>
              <w:jc w:val="right"/>
              <w:rPr>
                <w:color w:val="000000"/>
                <w:sz w:val="16"/>
                <w:szCs w:val="16"/>
              </w:rPr>
            </w:pPr>
            <w:r w:rsidRPr="00870D13">
              <w:rPr>
                <w:sz w:val="16"/>
                <w:szCs w:val="16"/>
              </w:rPr>
              <w:t>400.000.000,00</w:t>
            </w:r>
          </w:p>
        </w:tc>
        <w:tc>
          <w:tcPr>
            <w:tcW w:w="1276" w:type="dxa"/>
            <w:shd w:val="clear" w:color="auto" w:fill="auto"/>
          </w:tcPr>
          <w:p w:rsidR="000F2B84" w:rsidRPr="00870D13" w:rsidRDefault="00F9213F" w:rsidP="00880358">
            <w:pPr>
              <w:jc w:val="left"/>
              <w:rPr>
                <w:color w:val="000000"/>
                <w:sz w:val="16"/>
                <w:szCs w:val="16"/>
              </w:rPr>
            </w:pPr>
            <w:r w:rsidRPr="00870D13">
              <w:rPr>
                <w:sz w:val="16"/>
                <w:szCs w:val="16"/>
              </w:rPr>
              <w:t xml:space="preserve">Rapoarte de monitorizare transmise de FEI conform </w:t>
            </w:r>
            <w:r w:rsidRPr="00870D13">
              <w:rPr>
                <w:sz w:val="16"/>
                <w:szCs w:val="16"/>
              </w:rPr>
              <w:lastRenderedPageBreak/>
              <w:t>acordului de finanțare</w:t>
            </w:r>
          </w:p>
        </w:tc>
        <w:tc>
          <w:tcPr>
            <w:tcW w:w="1228" w:type="dxa"/>
            <w:shd w:val="clear" w:color="auto" w:fill="auto"/>
          </w:tcPr>
          <w:p w:rsidR="000F2B84" w:rsidRPr="00013586" w:rsidRDefault="00F9213F" w:rsidP="00686742">
            <w:pPr>
              <w:pStyle w:val="Text2"/>
              <w:ind w:left="0"/>
              <w:jc w:val="left"/>
              <w:rPr>
                <w:color w:val="000000"/>
                <w:sz w:val="16"/>
                <w:szCs w:val="16"/>
              </w:rPr>
            </w:pPr>
            <w:r w:rsidRPr="00013586">
              <w:rPr>
                <w:sz w:val="16"/>
                <w:szCs w:val="16"/>
              </w:rPr>
              <w:lastRenderedPageBreak/>
              <w:t>Anuală</w:t>
            </w:r>
          </w:p>
        </w:tc>
      </w:tr>
      <w:tr w:rsidR="00B31B05" w:rsidTr="00717F20">
        <w:trPr>
          <w:trHeight w:val="288"/>
        </w:trPr>
        <w:tc>
          <w:tcPr>
            <w:tcW w:w="900" w:type="dxa"/>
            <w:shd w:val="clear" w:color="auto" w:fill="auto"/>
          </w:tcPr>
          <w:p w:rsidR="000F2B84" w:rsidRPr="00013586" w:rsidRDefault="00F9213F" w:rsidP="00880358">
            <w:pPr>
              <w:jc w:val="left"/>
              <w:rPr>
                <w:color w:val="000000"/>
                <w:sz w:val="16"/>
                <w:szCs w:val="16"/>
              </w:rPr>
            </w:pPr>
            <w:r w:rsidRPr="00013586">
              <w:rPr>
                <w:color w:val="000000"/>
                <w:sz w:val="16"/>
                <w:szCs w:val="16"/>
              </w:rPr>
              <w:t>S3</w:t>
            </w:r>
          </w:p>
        </w:tc>
        <w:tc>
          <w:tcPr>
            <w:tcW w:w="1368" w:type="dxa"/>
            <w:shd w:val="clear" w:color="auto" w:fill="auto"/>
          </w:tcPr>
          <w:p w:rsidR="000F2B84" w:rsidRPr="00870D13" w:rsidRDefault="00F9213F" w:rsidP="00880358">
            <w:pPr>
              <w:jc w:val="left"/>
              <w:rPr>
                <w:color w:val="000000"/>
                <w:sz w:val="16"/>
                <w:szCs w:val="16"/>
              </w:rPr>
            </w:pPr>
            <w:r w:rsidRPr="00870D13">
              <w:rPr>
                <w:color w:val="000000"/>
                <w:sz w:val="16"/>
                <w:szCs w:val="16"/>
              </w:rPr>
              <w:t xml:space="preserve">Nivel minim al efectului de levier (corespunzător unei rate de garantare de </w:t>
            </w:r>
            <w:r w:rsidRPr="00870D13">
              <w:rPr>
                <w:color w:val="000000"/>
                <w:sz w:val="16"/>
                <w:szCs w:val="16"/>
              </w:rPr>
              <w:t>60%)</w:t>
            </w:r>
          </w:p>
        </w:tc>
        <w:tc>
          <w:tcPr>
            <w:tcW w:w="1560" w:type="dxa"/>
            <w:shd w:val="clear" w:color="auto" w:fill="auto"/>
          </w:tcPr>
          <w:p w:rsidR="000F2B84" w:rsidRPr="00870D13" w:rsidRDefault="00F9213F" w:rsidP="009A7FBC">
            <w:pPr>
              <w:jc w:val="left"/>
              <w:rPr>
                <w:color w:val="000000"/>
                <w:sz w:val="16"/>
                <w:szCs w:val="16"/>
              </w:rPr>
            </w:pPr>
            <w:r w:rsidRPr="00870D13">
              <w:rPr>
                <w:color w:val="000000"/>
                <w:sz w:val="16"/>
                <w:szCs w:val="16"/>
              </w:rPr>
              <w:t>Raport între credite acordate și contribuția FEDR</w:t>
            </w:r>
          </w:p>
        </w:tc>
        <w:tc>
          <w:tcPr>
            <w:tcW w:w="1559" w:type="dxa"/>
            <w:shd w:val="clear" w:color="auto" w:fill="auto"/>
          </w:tcPr>
          <w:p w:rsidR="000F2B84" w:rsidRPr="00DD3F83" w:rsidRDefault="00F9213F" w:rsidP="00880358">
            <w:pPr>
              <w:pStyle w:val="Text1"/>
              <w:ind w:left="0"/>
              <w:rPr>
                <w:color w:val="000000"/>
                <w:sz w:val="16"/>
                <w:szCs w:val="16"/>
                <w:highlight w:val="yellow"/>
              </w:rPr>
            </w:pPr>
            <w:r>
              <w:rPr>
                <w:color w:val="000000"/>
                <w:sz w:val="16"/>
                <w:szCs w:val="16"/>
              </w:rPr>
              <w:t>FEDR</w:t>
            </w:r>
          </w:p>
        </w:tc>
        <w:tc>
          <w:tcPr>
            <w:tcW w:w="2551" w:type="dxa"/>
            <w:shd w:val="clear" w:color="auto" w:fill="auto"/>
          </w:tcPr>
          <w:p w:rsidR="000F2B84" w:rsidRPr="00870D13" w:rsidRDefault="00F9213F" w:rsidP="00880358">
            <w:pPr>
              <w:jc w:val="left"/>
              <w:rPr>
                <w:color w:val="000000"/>
                <w:sz w:val="16"/>
                <w:szCs w:val="16"/>
              </w:rPr>
            </w:pPr>
            <w:r w:rsidRPr="00870D13">
              <w:rPr>
                <w:color w:val="000000"/>
                <w:sz w:val="16"/>
                <w:szCs w:val="16"/>
              </w:rPr>
              <w:t xml:space="preserve"> </w:t>
            </w:r>
          </w:p>
        </w:tc>
        <w:tc>
          <w:tcPr>
            <w:tcW w:w="1560" w:type="dxa"/>
            <w:shd w:val="clear" w:color="auto" w:fill="auto"/>
          </w:tcPr>
          <w:p w:rsidR="000F2B84" w:rsidRPr="00870D13" w:rsidRDefault="00F9213F" w:rsidP="00880358">
            <w:pPr>
              <w:jc w:val="right"/>
              <w:rPr>
                <w:color w:val="000000"/>
                <w:sz w:val="16"/>
                <w:szCs w:val="16"/>
              </w:rPr>
            </w:pPr>
          </w:p>
        </w:tc>
        <w:tc>
          <w:tcPr>
            <w:tcW w:w="1559" w:type="dxa"/>
            <w:shd w:val="clear" w:color="auto" w:fill="auto"/>
          </w:tcPr>
          <w:p w:rsidR="000F2B84" w:rsidRPr="00870D13" w:rsidRDefault="00F9213F" w:rsidP="00880358">
            <w:pPr>
              <w:jc w:val="right"/>
              <w:rPr>
                <w:color w:val="000000"/>
                <w:sz w:val="16"/>
                <w:szCs w:val="16"/>
              </w:rPr>
            </w:pPr>
          </w:p>
        </w:tc>
        <w:tc>
          <w:tcPr>
            <w:tcW w:w="1559" w:type="dxa"/>
            <w:shd w:val="clear" w:color="auto" w:fill="auto"/>
          </w:tcPr>
          <w:p w:rsidR="000F2B84" w:rsidRPr="00870D13" w:rsidRDefault="00F9213F" w:rsidP="00880358">
            <w:pPr>
              <w:jc w:val="right"/>
              <w:rPr>
                <w:color w:val="000000"/>
                <w:sz w:val="16"/>
                <w:szCs w:val="16"/>
              </w:rPr>
            </w:pPr>
            <w:r w:rsidRPr="00870D13">
              <w:rPr>
                <w:sz w:val="16"/>
                <w:szCs w:val="16"/>
              </w:rPr>
              <w:t>4,00</w:t>
            </w:r>
          </w:p>
        </w:tc>
        <w:tc>
          <w:tcPr>
            <w:tcW w:w="1276" w:type="dxa"/>
            <w:shd w:val="clear" w:color="auto" w:fill="auto"/>
          </w:tcPr>
          <w:p w:rsidR="000F2B84" w:rsidRPr="00870D13" w:rsidRDefault="00F9213F" w:rsidP="00880358">
            <w:pPr>
              <w:jc w:val="left"/>
              <w:rPr>
                <w:color w:val="000000"/>
                <w:sz w:val="16"/>
                <w:szCs w:val="16"/>
              </w:rPr>
            </w:pPr>
            <w:r w:rsidRPr="00870D13">
              <w:rPr>
                <w:sz w:val="16"/>
                <w:szCs w:val="16"/>
              </w:rPr>
              <w:t>Rapoarte de monitorizare transmise de FEI conform acordului de finanțare</w:t>
            </w:r>
          </w:p>
        </w:tc>
        <w:tc>
          <w:tcPr>
            <w:tcW w:w="1228" w:type="dxa"/>
            <w:shd w:val="clear" w:color="auto" w:fill="auto"/>
          </w:tcPr>
          <w:p w:rsidR="000F2B84" w:rsidRPr="00013586" w:rsidRDefault="00F9213F" w:rsidP="00686742">
            <w:pPr>
              <w:pStyle w:val="Text2"/>
              <w:ind w:left="0"/>
              <w:jc w:val="left"/>
              <w:rPr>
                <w:color w:val="000000"/>
                <w:sz w:val="16"/>
                <w:szCs w:val="16"/>
              </w:rPr>
            </w:pPr>
            <w:r w:rsidRPr="00013586">
              <w:rPr>
                <w:sz w:val="16"/>
                <w:szCs w:val="16"/>
              </w:rPr>
              <w:t>Anuală</w:t>
            </w:r>
          </w:p>
        </w:tc>
      </w:tr>
    </w:tbl>
    <w:p w:rsidR="00227504" w:rsidRDefault="00F9213F" w:rsidP="00227504">
      <w:pPr>
        <w:rPr>
          <w:sz w:val="16"/>
          <w:szCs w:val="16"/>
        </w:rPr>
      </w:pPr>
      <w:r>
        <w:br w:type="page"/>
      </w:r>
      <w:r w:rsidRPr="005A79BD">
        <w:rPr>
          <w:color w:val="FFFFFF"/>
        </w:rPr>
        <w:lastRenderedPageBreak/>
        <w:t>.</w:t>
      </w:r>
    </w:p>
    <w:p w:rsidR="00227504" w:rsidRPr="00C23AD8" w:rsidRDefault="00F9213F" w:rsidP="00227504">
      <w:pPr>
        <w:pStyle w:val="Heading1"/>
        <w:numPr>
          <w:ilvl w:val="0"/>
          <w:numId w:val="0"/>
        </w:numPr>
        <w:ind w:left="850" w:hanging="850"/>
        <w:rPr>
          <w:color w:val="000000"/>
          <w:szCs w:val="24"/>
        </w:rPr>
      </w:pPr>
      <w:r>
        <w:rPr>
          <w:color w:val="000000"/>
          <w:szCs w:val="24"/>
        </w:rPr>
        <w:t>3. PLAN DE FINANȚARE</w:t>
      </w:r>
    </w:p>
    <w:p w:rsidR="00227504" w:rsidRPr="005F6BA3" w:rsidRDefault="00F9213F" w:rsidP="00227504">
      <w:pPr>
        <w:pStyle w:val="Text1"/>
        <w:ind w:left="0"/>
      </w:pPr>
    </w:p>
    <w:p w:rsidR="00227504" w:rsidRPr="00391CD8" w:rsidRDefault="00F9213F" w:rsidP="00227504">
      <w:pPr>
        <w:pStyle w:val="Heading2"/>
        <w:numPr>
          <w:ilvl w:val="0"/>
          <w:numId w:val="0"/>
        </w:numPr>
        <w:ind w:left="850" w:hanging="850"/>
        <w:rPr>
          <w:szCs w:val="24"/>
        </w:rPr>
      </w:pPr>
      <w:r w:rsidRPr="00391CD8">
        <w:rPr>
          <w:szCs w:val="24"/>
        </w:rPr>
        <w:t xml:space="preserve">3.1 Alocare financiară din fiecare fond și sumele aferente rezervei de </w:t>
      </w:r>
      <w:r w:rsidRPr="00391CD8">
        <w:rPr>
          <w:szCs w:val="24"/>
        </w:rPr>
        <w:t>performanță</w:t>
      </w:r>
    </w:p>
    <w:p w:rsidR="00227504" w:rsidRDefault="00F9213F" w:rsidP="00227504">
      <w:pPr>
        <w:jc w:val="left"/>
        <w:rPr>
          <w:rFonts w:eastAsia="Arial Unicode MS"/>
          <w:b/>
        </w:rPr>
      </w:pPr>
    </w:p>
    <w:p w:rsidR="00227504" w:rsidRDefault="00F9213F" w:rsidP="00E90768">
      <w:pPr>
        <w:keepNext/>
        <w:jc w:val="left"/>
        <w:rPr>
          <w:rFonts w:eastAsia="Arial Unicode MS"/>
          <w:b/>
        </w:rPr>
      </w:pPr>
      <w:r w:rsidRPr="00391CD8">
        <w:rPr>
          <w:rFonts w:eastAsia="Arial Unicode MS"/>
          <w:b/>
        </w:rPr>
        <w:t>Tabelul 17</w:t>
      </w:r>
    </w:p>
    <w:p w:rsidR="00227504" w:rsidRDefault="00F9213F" w:rsidP="00227504">
      <w:pPr>
        <w:jc w:val="left"/>
        <w:rPr>
          <w:rFonts w:eastAsia="Arial Unicode MS"/>
          <w:b/>
        </w:rPr>
      </w:pP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10"/>
        <w:gridCol w:w="1047"/>
        <w:gridCol w:w="1559"/>
        <w:gridCol w:w="1701"/>
        <w:gridCol w:w="1701"/>
        <w:gridCol w:w="1560"/>
        <w:gridCol w:w="1701"/>
        <w:gridCol w:w="1701"/>
        <w:gridCol w:w="1701"/>
        <w:gridCol w:w="1797"/>
      </w:tblGrid>
      <w:tr w:rsidR="00B31B05" w:rsidTr="009670FB">
        <w:trPr>
          <w:trHeight w:val="1410"/>
          <w:tblHeader/>
        </w:trPr>
        <w:tc>
          <w:tcPr>
            <w:tcW w:w="810" w:type="dxa"/>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Fond</w:t>
            </w:r>
          </w:p>
        </w:tc>
        <w:tc>
          <w:tcPr>
            <w:tcW w:w="1047" w:type="dxa"/>
            <w:shd w:val="clear" w:color="auto" w:fill="auto"/>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Categoria de regiune</w:t>
            </w:r>
          </w:p>
        </w:tc>
        <w:tc>
          <w:tcPr>
            <w:tcW w:w="1559" w:type="dxa"/>
            <w:shd w:val="clear" w:color="auto" w:fill="auto"/>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2014</w:t>
            </w:r>
          </w:p>
          <w:p w:rsidR="00227504" w:rsidRPr="00C23AD8" w:rsidRDefault="00F9213F" w:rsidP="000054CD">
            <w:pPr>
              <w:snapToGrid w:val="0"/>
              <w:spacing w:before="60" w:after="60"/>
              <w:contextualSpacing/>
              <w:jc w:val="center"/>
              <w:rPr>
                <w:b/>
                <w:color w:val="000000"/>
                <w:sz w:val="16"/>
                <w:szCs w:val="16"/>
              </w:rPr>
            </w:pPr>
            <w:r w:rsidRPr="00552B7D">
              <w:rPr>
                <w:color w:val="000000"/>
                <w:sz w:val="14"/>
                <w:szCs w:val="14"/>
                <w:lang w:val="nl-NL"/>
              </w:rPr>
              <w:t>Alocare principală</w:t>
            </w:r>
          </w:p>
        </w:tc>
        <w:tc>
          <w:tcPr>
            <w:tcW w:w="1701" w:type="dxa"/>
            <w:shd w:val="clear" w:color="auto" w:fill="auto"/>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2015</w:t>
            </w:r>
          </w:p>
          <w:p w:rsidR="00227504" w:rsidRPr="00C23AD8" w:rsidRDefault="00F9213F" w:rsidP="000054CD">
            <w:pPr>
              <w:snapToGrid w:val="0"/>
              <w:spacing w:before="60" w:after="60"/>
              <w:contextualSpacing/>
              <w:jc w:val="center"/>
              <w:rPr>
                <w:b/>
                <w:color w:val="000000"/>
                <w:sz w:val="16"/>
                <w:szCs w:val="16"/>
              </w:rPr>
            </w:pPr>
            <w:r w:rsidRPr="00552B7D">
              <w:rPr>
                <w:color w:val="000000"/>
                <w:sz w:val="14"/>
                <w:szCs w:val="14"/>
                <w:lang w:val="nl-NL"/>
              </w:rPr>
              <w:t>Alocare principală</w:t>
            </w:r>
          </w:p>
        </w:tc>
        <w:tc>
          <w:tcPr>
            <w:tcW w:w="1701" w:type="dxa"/>
            <w:shd w:val="clear" w:color="auto" w:fill="auto"/>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2016</w:t>
            </w:r>
          </w:p>
          <w:p w:rsidR="00227504" w:rsidRPr="00C23AD8" w:rsidRDefault="00F9213F" w:rsidP="000054CD">
            <w:pPr>
              <w:snapToGrid w:val="0"/>
              <w:spacing w:before="60" w:after="60"/>
              <w:contextualSpacing/>
              <w:jc w:val="center"/>
              <w:rPr>
                <w:b/>
                <w:color w:val="000000"/>
                <w:sz w:val="16"/>
                <w:szCs w:val="16"/>
              </w:rPr>
            </w:pPr>
            <w:r w:rsidRPr="00552B7D">
              <w:rPr>
                <w:color w:val="000000"/>
                <w:sz w:val="14"/>
                <w:szCs w:val="14"/>
                <w:lang w:val="nl-NL"/>
              </w:rPr>
              <w:t>Alocare principală</w:t>
            </w:r>
          </w:p>
        </w:tc>
        <w:tc>
          <w:tcPr>
            <w:tcW w:w="1560" w:type="dxa"/>
            <w:shd w:val="clear" w:color="auto" w:fill="auto"/>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2017</w:t>
            </w:r>
          </w:p>
          <w:p w:rsidR="00227504" w:rsidRPr="00C23AD8" w:rsidRDefault="00F9213F" w:rsidP="000054CD">
            <w:pPr>
              <w:snapToGrid w:val="0"/>
              <w:spacing w:before="60" w:after="60"/>
              <w:contextualSpacing/>
              <w:jc w:val="center"/>
              <w:rPr>
                <w:b/>
                <w:color w:val="000000"/>
                <w:sz w:val="16"/>
                <w:szCs w:val="16"/>
              </w:rPr>
            </w:pPr>
            <w:r w:rsidRPr="00552B7D">
              <w:rPr>
                <w:color w:val="000000"/>
                <w:sz w:val="14"/>
                <w:szCs w:val="14"/>
                <w:lang w:val="nl-NL"/>
              </w:rPr>
              <w:t>Alocare principală</w:t>
            </w:r>
          </w:p>
        </w:tc>
        <w:tc>
          <w:tcPr>
            <w:tcW w:w="1701" w:type="dxa"/>
            <w:shd w:val="clear" w:color="auto" w:fill="auto"/>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2018</w:t>
            </w:r>
          </w:p>
          <w:p w:rsidR="00227504" w:rsidRPr="00C23AD8" w:rsidRDefault="00F9213F" w:rsidP="000054CD">
            <w:pPr>
              <w:snapToGrid w:val="0"/>
              <w:spacing w:before="60" w:after="60"/>
              <w:contextualSpacing/>
              <w:jc w:val="center"/>
              <w:rPr>
                <w:b/>
                <w:color w:val="000000"/>
                <w:sz w:val="16"/>
                <w:szCs w:val="16"/>
              </w:rPr>
            </w:pPr>
            <w:r w:rsidRPr="00552B7D">
              <w:rPr>
                <w:color w:val="000000"/>
                <w:sz w:val="14"/>
                <w:szCs w:val="14"/>
                <w:lang w:val="nl-NL"/>
              </w:rPr>
              <w:t>Alocare principală</w:t>
            </w:r>
          </w:p>
        </w:tc>
        <w:tc>
          <w:tcPr>
            <w:tcW w:w="1701" w:type="dxa"/>
            <w:shd w:val="clear" w:color="auto" w:fill="auto"/>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2019</w:t>
            </w:r>
          </w:p>
          <w:p w:rsidR="00227504" w:rsidRPr="00C23AD8" w:rsidRDefault="00F9213F" w:rsidP="000054CD">
            <w:pPr>
              <w:snapToGrid w:val="0"/>
              <w:spacing w:before="60" w:after="60"/>
              <w:contextualSpacing/>
              <w:jc w:val="center"/>
              <w:rPr>
                <w:b/>
                <w:color w:val="000000"/>
                <w:sz w:val="16"/>
                <w:szCs w:val="16"/>
              </w:rPr>
            </w:pPr>
            <w:r w:rsidRPr="00552B7D">
              <w:rPr>
                <w:color w:val="000000"/>
                <w:sz w:val="14"/>
                <w:szCs w:val="14"/>
                <w:lang w:val="nl-NL"/>
              </w:rPr>
              <w:t>Alocare principală</w:t>
            </w:r>
          </w:p>
        </w:tc>
        <w:tc>
          <w:tcPr>
            <w:tcW w:w="1701" w:type="dxa"/>
            <w:shd w:val="clear" w:color="auto" w:fill="auto"/>
          </w:tcPr>
          <w:p w:rsidR="00227504" w:rsidRPr="00C23AD8" w:rsidRDefault="00F9213F" w:rsidP="000054CD">
            <w:pPr>
              <w:snapToGrid w:val="0"/>
              <w:spacing w:before="60" w:after="60"/>
              <w:contextualSpacing/>
              <w:jc w:val="center"/>
              <w:rPr>
                <w:b/>
                <w:color w:val="000000"/>
                <w:sz w:val="16"/>
                <w:szCs w:val="16"/>
              </w:rPr>
            </w:pPr>
            <w:r w:rsidRPr="00C23AD8">
              <w:rPr>
                <w:b/>
                <w:color w:val="000000"/>
                <w:sz w:val="16"/>
                <w:szCs w:val="16"/>
              </w:rPr>
              <w:t>2020</w:t>
            </w:r>
          </w:p>
          <w:p w:rsidR="00227504" w:rsidRPr="00C23AD8" w:rsidRDefault="00F9213F" w:rsidP="000054CD">
            <w:pPr>
              <w:snapToGrid w:val="0"/>
              <w:spacing w:before="60" w:after="60"/>
              <w:contextualSpacing/>
              <w:jc w:val="center"/>
              <w:rPr>
                <w:b/>
                <w:color w:val="000000"/>
                <w:sz w:val="16"/>
                <w:szCs w:val="16"/>
              </w:rPr>
            </w:pPr>
            <w:r w:rsidRPr="00552B7D">
              <w:rPr>
                <w:color w:val="000000"/>
                <w:sz w:val="14"/>
                <w:szCs w:val="14"/>
                <w:lang w:val="nl-NL"/>
              </w:rPr>
              <w:t>Alocare principală</w:t>
            </w:r>
          </w:p>
        </w:tc>
        <w:tc>
          <w:tcPr>
            <w:tcW w:w="1797" w:type="dxa"/>
            <w:shd w:val="clear" w:color="auto" w:fill="auto"/>
          </w:tcPr>
          <w:p w:rsidR="00227504" w:rsidRPr="00C23AD8" w:rsidRDefault="00F9213F" w:rsidP="000054CD">
            <w:pPr>
              <w:snapToGrid w:val="0"/>
              <w:spacing w:before="60" w:after="60"/>
              <w:contextualSpacing/>
              <w:jc w:val="center"/>
              <w:rPr>
                <w:b/>
                <w:color w:val="000000"/>
                <w:sz w:val="16"/>
                <w:szCs w:val="16"/>
                <w:lang w:val="nl-NL"/>
              </w:rPr>
            </w:pPr>
            <w:r w:rsidRPr="00C23AD8">
              <w:rPr>
                <w:b/>
                <w:color w:val="000000"/>
                <w:sz w:val="16"/>
                <w:szCs w:val="16"/>
                <w:lang w:val="nl-NL"/>
              </w:rPr>
              <w:t>Total</w:t>
            </w:r>
          </w:p>
          <w:p w:rsidR="00227504" w:rsidRPr="00C23AD8" w:rsidRDefault="00F9213F" w:rsidP="000054CD">
            <w:pPr>
              <w:snapToGrid w:val="0"/>
              <w:spacing w:before="60" w:after="60"/>
              <w:contextualSpacing/>
              <w:jc w:val="center"/>
              <w:rPr>
                <w:b/>
                <w:color w:val="000000"/>
                <w:sz w:val="16"/>
                <w:szCs w:val="16"/>
                <w:lang w:val="nl-NL"/>
              </w:rPr>
            </w:pPr>
            <w:r w:rsidRPr="00552B7D">
              <w:rPr>
                <w:color w:val="000000"/>
                <w:sz w:val="14"/>
                <w:szCs w:val="14"/>
                <w:lang w:val="nl-NL"/>
              </w:rPr>
              <w:t>Alocare principală</w:t>
            </w:r>
          </w:p>
        </w:tc>
      </w:tr>
      <w:tr w:rsidR="00B31B05" w:rsidTr="009670FB">
        <w:trPr>
          <w:trHeight w:val="170"/>
        </w:trPr>
        <w:tc>
          <w:tcPr>
            <w:tcW w:w="810" w:type="dxa"/>
          </w:tcPr>
          <w:p w:rsidR="00227504" w:rsidRPr="00E44BEB" w:rsidRDefault="00F9213F" w:rsidP="00717F20">
            <w:pPr>
              <w:snapToGrid w:val="0"/>
              <w:jc w:val="left"/>
              <w:rPr>
                <w:sz w:val="14"/>
                <w:szCs w:val="14"/>
              </w:rPr>
            </w:pPr>
            <w:r w:rsidRPr="00E44BEB">
              <w:rPr>
                <w:sz w:val="14"/>
                <w:szCs w:val="14"/>
              </w:rPr>
              <w:t>FEDR</w:t>
            </w:r>
          </w:p>
        </w:tc>
        <w:tc>
          <w:tcPr>
            <w:tcW w:w="1047" w:type="dxa"/>
            <w:shd w:val="clear" w:color="auto" w:fill="auto"/>
          </w:tcPr>
          <w:p w:rsidR="00227504" w:rsidRPr="00E44BEB" w:rsidRDefault="00F9213F" w:rsidP="00717F20">
            <w:pPr>
              <w:snapToGrid w:val="0"/>
              <w:jc w:val="left"/>
              <w:rPr>
                <w:sz w:val="14"/>
                <w:szCs w:val="14"/>
              </w:rPr>
            </w:pPr>
            <w:r w:rsidRPr="00E44BEB">
              <w:rPr>
                <w:sz w:val="14"/>
                <w:szCs w:val="14"/>
              </w:rPr>
              <w:t xml:space="preserve">Mai </w:t>
            </w:r>
            <w:r w:rsidRPr="00E44BEB">
              <w:rPr>
                <w:sz w:val="14"/>
                <w:szCs w:val="14"/>
              </w:rPr>
              <w:t>puțin dezvoltate</w:t>
            </w:r>
          </w:p>
        </w:tc>
        <w:tc>
          <w:tcPr>
            <w:tcW w:w="1559" w:type="dxa"/>
            <w:shd w:val="clear" w:color="auto" w:fill="auto"/>
          </w:tcPr>
          <w:p w:rsidR="00227504" w:rsidRPr="00E44BEB" w:rsidRDefault="00F9213F" w:rsidP="00717F20">
            <w:pPr>
              <w:snapToGrid w:val="0"/>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86.170.214,00</w:t>
            </w:r>
          </w:p>
        </w:tc>
        <w:tc>
          <w:tcPr>
            <w:tcW w:w="1560" w:type="dxa"/>
            <w:shd w:val="clear" w:color="auto" w:fill="auto"/>
          </w:tcPr>
          <w:p w:rsidR="00227504" w:rsidRPr="00E44BEB" w:rsidRDefault="00F9213F" w:rsidP="00717F20">
            <w:pPr>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0,00</w:t>
            </w:r>
          </w:p>
        </w:tc>
        <w:tc>
          <w:tcPr>
            <w:tcW w:w="1797" w:type="dxa"/>
            <w:shd w:val="clear" w:color="auto" w:fill="auto"/>
          </w:tcPr>
          <w:p w:rsidR="00227504" w:rsidRPr="00E44BEB" w:rsidRDefault="00F9213F" w:rsidP="00717F20">
            <w:pPr>
              <w:jc w:val="right"/>
              <w:rPr>
                <w:sz w:val="14"/>
                <w:szCs w:val="14"/>
              </w:rPr>
            </w:pPr>
            <w:r w:rsidRPr="00E44BEB">
              <w:rPr>
                <w:sz w:val="14"/>
                <w:szCs w:val="14"/>
              </w:rPr>
              <w:t>86.170.214,00</w:t>
            </w:r>
          </w:p>
        </w:tc>
      </w:tr>
      <w:tr w:rsidR="00B31B05" w:rsidTr="009670FB">
        <w:trPr>
          <w:trHeight w:val="170"/>
        </w:trPr>
        <w:tc>
          <w:tcPr>
            <w:tcW w:w="810" w:type="dxa"/>
          </w:tcPr>
          <w:p w:rsidR="00227504" w:rsidRPr="00E44BEB" w:rsidRDefault="00F9213F" w:rsidP="00717F20">
            <w:pPr>
              <w:snapToGrid w:val="0"/>
              <w:jc w:val="left"/>
              <w:rPr>
                <w:sz w:val="14"/>
                <w:szCs w:val="14"/>
              </w:rPr>
            </w:pPr>
            <w:r w:rsidRPr="00E44BEB">
              <w:rPr>
                <w:sz w:val="14"/>
                <w:szCs w:val="14"/>
              </w:rPr>
              <w:t>FEDR</w:t>
            </w:r>
          </w:p>
        </w:tc>
        <w:tc>
          <w:tcPr>
            <w:tcW w:w="1047" w:type="dxa"/>
            <w:shd w:val="clear" w:color="auto" w:fill="auto"/>
          </w:tcPr>
          <w:p w:rsidR="00227504" w:rsidRPr="00E44BEB" w:rsidRDefault="00F9213F" w:rsidP="00717F20">
            <w:pPr>
              <w:snapToGrid w:val="0"/>
              <w:jc w:val="left"/>
              <w:rPr>
                <w:sz w:val="14"/>
                <w:szCs w:val="14"/>
              </w:rPr>
            </w:pPr>
            <w:r w:rsidRPr="00E44BEB">
              <w:rPr>
                <w:sz w:val="14"/>
                <w:szCs w:val="14"/>
              </w:rPr>
              <w:t>Mai dezvoltate</w:t>
            </w:r>
          </w:p>
        </w:tc>
        <w:tc>
          <w:tcPr>
            <w:tcW w:w="1559" w:type="dxa"/>
            <w:shd w:val="clear" w:color="auto" w:fill="auto"/>
          </w:tcPr>
          <w:p w:rsidR="00227504" w:rsidRPr="00E44BEB" w:rsidRDefault="00F9213F" w:rsidP="00717F20">
            <w:pPr>
              <w:snapToGrid w:val="0"/>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13.829.786,00</w:t>
            </w:r>
          </w:p>
        </w:tc>
        <w:tc>
          <w:tcPr>
            <w:tcW w:w="1560" w:type="dxa"/>
            <w:shd w:val="clear" w:color="auto" w:fill="auto"/>
          </w:tcPr>
          <w:p w:rsidR="00227504" w:rsidRPr="00E44BEB" w:rsidRDefault="00F9213F" w:rsidP="00717F20">
            <w:pPr>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0,00</w:t>
            </w:r>
          </w:p>
        </w:tc>
        <w:tc>
          <w:tcPr>
            <w:tcW w:w="1701" w:type="dxa"/>
            <w:shd w:val="clear" w:color="auto" w:fill="auto"/>
          </w:tcPr>
          <w:p w:rsidR="00227504" w:rsidRPr="00E44BEB" w:rsidRDefault="00F9213F" w:rsidP="00717F20">
            <w:pPr>
              <w:jc w:val="right"/>
              <w:rPr>
                <w:sz w:val="14"/>
                <w:szCs w:val="14"/>
              </w:rPr>
            </w:pPr>
            <w:r w:rsidRPr="00E44BEB">
              <w:rPr>
                <w:sz w:val="14"/>
                <w:szCs w:val="14"/>
              </w:rPr>
              <w:t>0,00</w:t>
            </w:r>
          </w:p>
        </w:tc>
        <w:tc>
          <w:tcPr>
            <w:tcW w:w="1797" w:type="dxa"/>
            <w:shd w:val="clear" w:color="auto" w:fill="auto"/>
          </w:tcPr>
          <w:p w:rsidR="00227504" w:rsidRPr="00E44BEB" w:rsidRDefault="00F9213F" w:rsidP="00717F20">
            <w:pPr>
              <w:jc w:val="right"/>
              <w:rPr>
                <w:sz w:val="14"/>
                <w:szCs w:val="14"/>
              </w:rPr>
            </w:pPr>
            <w:r w:rsidRPr="00E44BEB">
              <w:rPr>
                <w:sz w:val="14"/>
                <w:szCs w:val="14"/>
              </w:rPr>
              <w:t>13.829.786,00</w:t>
            </w:r>
          </w:p>
        </w:tc>
      </w:tr>
      <w:tr w:rsidR="00B31B05" w:rsidTr="009670FB">
        <w:trPr>
          <w:trHeight w:val="170"/>
        </w:trPr>
        <w:tc>
          <w:tcPr>
            <w:tcW w:w="810" w:type="dxa"/>
          </w:tcPr>
          <w:p w:rsidR="00227504" w:rsidRPr="00E44BEB" w:rsidRDefault="00F9213F" w:rsidP="00717F20">
            <w:pPr>
              <w:snapToGrid w:val="0"/>
              <w:jc w:val="left"/>
              <w:rPr>
                <w:sz w:val="14"/>
                <w:szCs w:val="14"/>
              </w:rPr>
            </w:pPr>
            <w:r w:rsidRPr="00E44BEB">
              <w:rPr>
                <w:b/>
                <w:sz w:val="14"/>
                <w:szCs w:val="14"/>
              </w:rPr>
              <w:t>Total</w:t>
            </w:r>
            <w:r w:rsidRPr="00E44BEB">
              <w:rPr>
                <w:sz w:val="14"/>
                <w:szCs w:val="14"/>
              </w:rPr>
              <w:t xml:space="preserve"> </w:t>
            </w:r>
          </w:p>
        </w:tc>
        <w:tc>
          <w:tcPr>
            <w:tcW w:w="1047" w:type="dxa"/>
            <w:shd w:val="clear" w:color="auto" w:fill="auto"/>
          </w:tcPr>
          <w:p w:rsidR="00227504" w:rsidRPr="00E44BEB" w:rsidRDefault="00F9213F" w:rsidP="00717F20">
            <w:pPr>
              <w:snapToGrid w:val="0"/>
              <w:jc w:val="left"/>
              <w:rPr>
                <w:sz w:val="14"/>
                <w:szCs w:val="14"/>
              </w:rPr>
            </w:pPr>
          </w:p>
        </w:tc>
        <w:tc>
          <w:tcPr>
            <w:tcW w:w="1559" w:type="dxa"/>
            <w:shd w:val="clear" w:color="auto" w:fill="auto"/>
          </w:tcPr>
          <w:p w:rsidR="00227504" w:rsidRPr="00E44BEB" w:rsidRDefault="00F9213F" w:rsidP="00717F20">
            <w:pPr>
              <w:snapToGrid w:val="0"/>
              <w:jc w:val="right"/>
              <w:rPr>
                <w:sz w:val="14"/>
                <w:szCs w:val="14"/>
              </w:rPr>
            </w:pPr>
            <w:r w:rsidRPr="00E44BEB">
              <w:rPr>
                <w:b/>
                <w:sz w:val="14"/>
                <w:szCs w:val="14"/>
              </w:rPr>
              <w:t>0,00</w:t>
            </w:r>
          </w:p>
        </w:tc>
        <w:tc>
          <w:tcPr>
            <w:tcW w:w="1701" w:type="dxa"/>
            <w:shd w:val="clear" w:color="auto" w:fill="auto"/>
          </w:tcPr>
          <w:p w:rsidR="00227504" w:rsidRPr="00E44BEB" w:rsidRDefault="00F9213F" w:rsidP="00717F20">
            <w:pPr>
              <w:jc w:val="right"/>
              <w:rPr>
                <w:sz w:val="14"/>
                <w:szCs w:val="14"/>
              </w:rPr>
            </w:pPr>
            <w:r w:rsidRPr="00E44BEB">
              <w:rPr>
                <w:b/>
                <w:sz w:val="14"/>
                <w:szCs w:val="14"/>
              </w:rPr>
              <w:t>0,00</w:t>
            </w:r>
          </w:p>
        </w:tc>
        <w:tc>
          <w:tcPr>
            <w:tcW w:w="1701" w:type="dxa"/>
            <w:shd w:val="clear" w:color="auto" w:fill="auto"/>
          </w:tcPr>
          <w:p w:rsidR="00227504" w:rsidRPr="00E44BEB" w:rsidRDefault="00F9213F" w:rsidP="00717F20">
            <w:pPr>
              <w:jc w:val="right"/>
              <w:rPr>
                <w:sz w:val="14"/>
                <w:szCs w:val="14"/>
              </w:rPr>
            </w:pPr>
            <w:r w:rsidRPr="00E44BEB">
              <w:rPr>
                <w:b/>
                <w:sz w:val="14"/>
                <w:szCs w:val="14"/>
              </w:rPr>
              <w:t>100.000.000,00</w:t>
            </w:r>
          </w:p>
        </w:tc>
        <w:tc>
          <w:tcPr>
            <w:tcW w:w="1560" w:type="dxa"/>
            <w:shd w:val="clear" w:color="auto" w:fill="auto"/>
          </w:tcPr>
          <w:p w:rsidR="00227504" w:rsidRPr="00E44BEB" w:rsidRDefault="00F9213F" w:rsidP="00717F20">
            <w:pPr>
              <w:jc w:val="right"/>
              <w:rPr>
                <w:sz w:val="14"/>
                <w:szCs w:val="14"/>
              </w:rPr>
            </w:pPr>
            <w:r w:rsidRPr="00E44BEB">
              <w:rPr>
                <w:b/>
                <w:sz w:val="14"/>
                <w:szCs w:val="14"/>
              </w:rPr>
              <w:t>0,00</w:t>
            </w:r>
          </w:p>
        </w:tc>
        <w:tc>
          <w:tcPr>
            <w:tcW w:w="1701" w:type="dxa"/>
            <w:shd w:val="clear" w:color="auto" w:fill="auto"/>
          </w:tcPr>
          <w:p w:rsidR="00227504" w:rsidRPr="00E44BEB" w:rsidRDefault="00F9213F" w:rsidP="00717F20">
            <w:pPr>
              <w:jc w:val="right"/>
              <w:rPr>
                <w:sz w:val="14"/>
                <w:szCs w:val="14"/>
              </w:rPr>
            </w:pPr>
            <w:r w:rsidRPr="00E44BEB">
              <w:rPr>
                <w:b/>
                <w:sz w:val="14"/>
                <w:szCs w:val="14"/>
              </w:rPr>
              <w:t>0,00</w:t>
            </w:r>
          </w:p>
        </w:tc>
        <w:tc>
          <w:tcPr>
            <w:tcW w:w="1701" w:type="dxa"/>
            <w:shd w:val="clear" w:color="auto" w:fill="auto"/>
          </w:tcPr>
          <w:p w:rsidR="00227504" w:rsidRPr="00E44BEB" w:rsidRDefault="00F9213F" w:rsidP="00717F20">
            <w:pPr>
              <w:jc w:val="right"/>
              <w:rPr>
                <w:sz w:val="14"/>
                <w:szCs w:val="14"/>
              </w:rPr>
            </w:pPr>
            <w:r w:rsidRPr="00E44BEB">
              <w:rPr>
                <w:b/>
                <w:sz w:val="14"/>
                <w:szCs w:val="14"/>
              </w:rPr>
              <w:t>0,00</w:t>
            </w:r>
          </w:p>
        </w:tc>
        <w:tc>
          <w:tcPr>
            <w:tcW w:w="1701" w:type="dxa"/>
            <w:shd w:val="clear" w:color="auto" w:fill="auto"/>
          </w:tcPr>
          <w:p w:rsidR="00227504" w:rsidRPr="00E44BEB" w:rsidRDefault="00F9213F" w:rsidP="00717F20">
            <w:pPr>
              <w:jc w:val="right"/>
              <w:rPr>
                <w:sz w:val="14"/>
                <w:szCs w:val="14"/>
              </w:rPr>
            </w:pPr>
            <w:r w:rsidRPr="00E44BEB">
              <w:rPr>
                <w:b/>
                <w:sz w:val="14"/>
                <w:szCs w:val="14"/>
              </w:rPr>
              <w:t>0,00</w:t>
            </w:r>
          </w:p>
        </w:tc>
        <w:tc>
          <w:tcPr>
            <w:tcW w:w="1797" w:type="dxa"/>
            <w:shd w:val="clear" w:color="auto" w:fill="auto"/>
          </w:tcPr>
          <w:p w:rsidR="00227504" w:rsidRPr="00E44BEB" w:rsidRDefault="00F9213F" w:rsidP="00717F20">
            <w:pPr>
              <w:jc w:val="right"/>
              <w:rPr>
                <w:sz w:val="14"/>
                <w:szCs w:val="14"/>
              </w:rPr>
            </w:pPr>
            <w:r w:rsidRPr="00E44BEB">
              <w:rPr>
                <w:b/>
                <w:sz w:val="14"/>
                <w:szCs w:val="14"/>
              </w:rPr>
              <w:t>100.000.000,00</w:t>
            </w:r>
          </w:p>
        </w:tc>
      </w:tr>
    </w:tbl>
    <w:p w:rsidR="00227504" w:rsidRDefault="00F9213F" w:rsidP="00227504">
      <w:pPr>
        <w:jc w:val="left"/>
        <w:rPr>
          <w:rFonts w:eastAsia="Arial Unicode MS"/>
          <w:b/>
        </w:rPr>
      </w:pPr>
    </w:p>
    <w:p w:rsidR="00835F4D" w:rsidRDefault="00F9213F" w:rsidP="00E90768">
      <w:pPr>
        <w:pStyle w:val="Heading2"/>
        <w:keepLines/>
        <w:numPr>
          <w:ilvl w:val="0"/>
          <w:numId w:val="0"/>
        </w:numPr>
        <w:ind w:left="850" w:hanging="850"/>
        <w:rPr>
          <w:rFonts w:eastAsia="Arial Unicode MS"/>
          <w:szCs w:val="24"/>
        </w:rPr>
        <w:sectPr w:rsidR="00835F4D" w:rsidSect="00835F4D">
          <w:footerReference w:type="default" r:id="rId9"/>
          <w:pgSz w:w="16838" w:h="11906" w:orient="landscape"/>
          <w:pgMar w:top="1584" w:right="1022" w:bottom="1699" w:left="1022" w:header="709" w:footer="709" w:gutter="0"/>
          <w:cols w:space="708"/>
          <w:docGrid w:linePitch="360"/>
        </w:sectPr>
      </w:pPr>
    </w:p>
    <w:p w:rsidR="00227504" w:rsidRPr="00391CD8" w:rsidRDefault="00F9213F" w:rsidP="00E90768">
      <w:pPr>
        <w:pStyle w:val="Heading2"/>
        <w:keepLines/>
        <w:numPr>
          <w:ilvl w:val="0"/>
          <w:numId w:val="0"/>
        </w:numPr>
        <w:ind w:left="850" w:hanging="850"/>
        <w:rPr>
          <w:rFonts w:eastAsia="Arial Unicode MS"/>
          <w:szCs w:val="24"/>
        </w:rPr>
      </w:pPr>
      <w:r w:rsidRPr="00391CD8">
        <w:rPr>
          <w:rFonts w:eastAsia="Arial Unicode MS"/>
          <w:szCs w:val="24"/>
        </w:rPr>
        <w:lastRenderedPageBreak/>
        <w:t>3.2 Alocare financiară totală pentru fiecare fond și cofinanțarea națională (EUR)</w:t>
      </w:r>
    </w:p>
    <w:p w:rsidR="00227504" w:rsidRPr="00DC028E" w:rsidRDefault="00F9213F" w:rsidP="00E90768">
      <w:pPr>
        <w:keepNext/>
        <w:keepLines/>
        <w:rPr>
          <w:rFonts w:eastAsia="Arial Unicode MS"/>
        </w:rPr>
      </w:pPr>
    </w:p>
    <w:p w:rsidR="00227504" w:rsidRDefault="00F9213F" w:rsidP="00E90768">
      <w:pPr>
        <w:keepNext/>
        <w:keepLines/>
        <w:tabs>
          <w:tab w:val="left" w:pos="426"/>
        </w:tabs>
        <w:rPr>
          <w:rFonts w:eastAsia="Arial Unicode MS"/>
          <w:b/>
        </w:rPr>
      </w:pPr>
      <w:r w:rsidRPr="00391CD8">
        <w:rPr>
          <w:rFonts w:eastAsia="Arial Unicode MS"/>
          <w:b/>
        </w:rPr>
        <w:t>Tabelul 18a: Plan de finanțare</w:t>
      </w:r>
    </w:p>
    <w:p w:rsidR="00227504" w:rsidRDefault="00F9213F" w:rsidP="00227504">
      <w:pPr>
        <w:tabs>
          <w:tab w:val="left" w:pos="426"/>
        </w:tabs>
        <w:rPr>
          <w:rFonts w:eastAsia="Arial Unicode MS"/>
          <w:b/>
        </w:rPr>
      </w:pPr>
    </w:p>
    <w:tbl>
      <w:tblPr>
        <w:tblW w:w="151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559"/>
        <w:gridCol w:w="1228"/>
        <w:gridCol w:w="1559"/>
        <w:gridCol w:w="1560"/>
        <w:gridCol w:w="1559"/>
        <w:gridCol w:w="1559"/>
        <w:gridCol w:w="1559"/>
        <w:gridCol w:w="1560"/>
        <w:gridCol w:w="1559"/>
      </w:tblGrid>
      <w:tr w:rsidR="00B31B05" w:rsidTr="00CD448D">
        <w:trPr>
          <w:trHeight w:val="510"/>
          <w:tblHeader/>
        </w:trPr>
        <w:tc>
          <w:tcPr>
            <w:tcW w:w="709" w:type="dxa"/>
            <w:vMerge w:val="restart"/>
            <w:shd w:val="clear" w:color="auto" w:fill="auto"/>
          </w:tcPr>
          <w:p w:rsidR="00227504" w:rsidRPr="00C23AD8" w:rsidRDefault="00F9213F" w:rsidP="00717F20">
            <w:pPr>
              <w:spacing w:after="0"/>
              <w:jc w:val="center"/>
              <w:rPr>
                <w:rFonts w:eastAsia="Arial Unicode MS"/>
                <w:b/>
                <w:color w:val="000000"/>
                <w:sz w:val="16"/>
                <w:szCs w:val="16"/>
              </w:rPr>
            </w:pPr>
            <w:r>
              <w:rPr>
                <w:b/>
                <w:color w:val="000000"/>
                <w:sz w:val="16"/>
                <w:szCs w:val="16"/>
              </w:rPr>
              <w:t>Axă prioritară</w:t>
            </w:r>
          </w:p>
        </w:tc>
        <w:tc>
          <w:tcPr>
            <w:tcW w:w="709" w:type="dxa"/>
            <w:vMerge w:val="restart"/>
            <w:shd w:val="clear" w:color="auto" w:fill="auto"/>
          </w:tcPr>
          <w:p w:rsidR="00227504" w:rsidRPr="00C23AD8" w:rsidRDefault="00F9213F" w:rsidP="00717F20">
            <w:pPr>
              <w:snapToGrid w:val="0"/>
              <w:spacing w:after="0"/>
              <w:contextualSpacing/>
              <w:jc w:val="center"/>
              <w:rPr>
                <w:b/>
                <w:color w:val="000000"/>
                <w:sz w:val="16"/>
                <w:szCs w:val="16"/>
              </w:rPr>
            </w:pPr>
            <w:r w:rsidRPr="00C23AD8">
              <w:rPr>
                <w:b/>
                <w:color w:val="000000"/>
                <w:sz w:val="16"/>
                <w:szCs w:val="16"/>
              </w:rPr>
              <w:t>Fond</w:t>
            </w:r>
          </w:p>
        </w:tc>
        <w:tc>
          <w:tcPr>
            <w:tcW w:w="1559" w:type="dxa"/>
            <w:vMerge w:val="restart"/>
            <w:shd w:val="clear" w:color="auto" w:fill="auto"/>
          </w:tcPr>
          <w:p w:rsidR="00227504" w:rsidRPr="00C23AD8" w:rsidRDefault="00F9213F" w:rsidP="00717F20">
            <w:pPr>
              <w:tabs>
                <w:tab w:val="left" w:pos="426"/>
              </w:tabs>
              <w:spacing w:after="0"/>
              <w:jc w:val="center"/>
              <w:rPr>
                <w:rFonts w:eastAsia="Arial Unicode MS"/>
                <w:b/>
                <w:color w:val="000000"/>
                <w:sz w:val="16"/>
                <w:szCs w:val="16"/>
              </w:rPr>
            </w:pPr>
            <w:r w:rsidRPr="00C23AD8">
              <w:rPr>
                <w:b/>
                <w:color w:val="000000"/>
                <w:sz w:val="16"/>
                <w:szCs w:val="16"/>
              </w:rPr>
              <w:t>Categoria de regiune</w:t>
            </w:r>
          </w:p>
        </w:tc>
        <w:tc>
          <w:tcPr>
            <w:tcW w:w="1228" w:type="dxa"/>
            <w:vMerge w:val="restart"/>
            <w:shd w:val="clear" w:color="auto" w:fill="auto"/>
          </w:tcPr>
          <w:p w:rsidR="00227504" w:rsidRDefault="00F9213F" w:rsidP="00717F20">
            <w:pPr>
              <w:tabs>
                <w:tab w:val="left" w:pos="426"/>
              </w:tabs>
              <w:spacing w:before="60" w:after="0"/>
              <w:jc w:val="center"/>
              <w:rPr>
                <w:b/>
                <w:color w:val="000000"/>
                <w:sz w:val="16"/>
                <w:szCs w:val="16"/>
              </w:rPr>
            </w:pPr>
            <w:r w:rsidRPr="00C23AD8">
              <w:rPr>
                <w:b/>
                <w:color w:val="000000"/>
                <w:sz w:val="16"/>
                <w:szCs w:val="16"/>
              </w:rPr>
              <w:t xml:space="preserve">Baza de calcul pentru </w:t>
            </w:r>
            <w:r w:rsidRPr="00C23AD8">
              <w:rPr>
                <w:b/>
                <w:color w:val="000000"/>
                <w:sz w:val="16"/>
                <w:szCs w:val="16"/>
              </w:rPr>
              <w:t>sprijinul din partea Uniunii</w:t>
            </w:r>
          </w:p>
          <w:p w:rsidR="00227504" w:rsidRPr="00C23AD8" w:rsidRDefault="00F9213F" w:rsidP="00717F20">
            <w:pPr>
              <w:tabs>
                <w:tab w:val="left" w:pos="426"/>
              </w:tabs>
              <w:spacing w:before="60" w:after="0"/>
              <w:jc w:val="center"/>
              <w:rPr>
                <w:b/>
                <w:color w:val="000000"/>
                <w:sz w:val="16"/>
                <w:szCs w:val="16"/>
              </w:rPr>
            </w:pPr>
            <w:r>
              <w:rPr>
                <w:b/>
                <w:color w:val="000000"/>
                <w:sz w:val="16"/>
                <w:szCs w:val="16"/>
              </w:rPr>
              <w:t>(Costul total eligibil sau costul public eligibil)</w:t>
            </w:r>
          </w:p>
        </w:tc>
        <w:tc>
          <w:tcPr>
            <w:tcW w:w="1559" w:type="dxa"/>
            <w:vMerge w:val="restart"/>
            <w:shd w:val="clear" w:color="auto" w:fill="auto"/>
          </w:tcPr>
          <w:p w:rsidR="00227504" w:rsidRPr="00C23AD8" w:rsidRDefault="00F9213F" w:rsidP="00717F20">
            <w:pPr>
              <w:tabs>
                <w:tab w:val="left" w:pos="426"/>
              </w:tabs>
              <w:spacing w:after="0"/>
              <w:jc w:val="center"/>
              <w:rPr>
                <w:b/>
                <w:color w:val="000000"/>
                <w:sz w:val="16"/>
                <w:szCs w:val="16"/>
              </w:rPr>
            </w:pPr>
            <w:r w:rsidRPr="00C23AD8">
              <w:rPr>
                <w:b/>
                <w:color w:val="000000"/>
                <w:sz w:val="16"/>
                <w:szCs w:val="16"/>
              </w:rPr>
              <w:t>Sprijinul din partea Uniunii</w:t>
            </w:r>
          </w:p>
          <w:p w:rsidR="00227504" w:rsidRPr="00C23AD8" w:rsidRDefault="00F9213F" w:rsidP="00717F20">
            <w:pPr>
              <w:tabs>
                <w:tab w:val="left" w:pos="426"/>
              </w:tabs>
              <w:spacing w:after="0"/>
              <w:jc w:val="center"/>
              <w:rPr>
                <w:rFonts w:eastAsia="Arial Unicode MS"/>
                <w:b/>
                <w:color w:val="000000"/>
                <w:sz w:val="16"/>
                <w:szCs w:val="16"/>
              </w:rPr>
            </w:pPr>
            <w:r w:rsidRPr="00C23AD8">
              <w:rPr>
                <w:b/>
                <w:color w:val="000000"/>
                <w:sz w:val="16"/>
                <w:szCs w:val="16"/>
              </w:rPr>
              <w:t>(a)</w:t>
            </w:r>
          </w:p>
        </w:tc>
        <w:tc>
          <w:tcPr>
            <w:tcW w:w="1560" w:type="dxa"/>
            <w:vMerge w:val="restart"/>
            <w:shd w:val="clear" w:color="auto" w:fill="auto"/>
          </w:tcPr>
          <w:p w:rsidR="00227504" w:rsidRPr="00C23AD8" w:rsidRDefault="00F9213F" w:rsidP="00717F20">
            <w:pPr>
              <w:tabs>
                <w:tab w:val="left" w:pos="426"/>
              </w:tabs>
              <w:spacing w:after="0"/>
              <w:jc w:val="center"/>
              <w:rPr>
                <w:b/>
                <w:color w:val="000000"/>
                <w:sz w:val="16"/>
                <w:szCs w:val="16"/>
              </w:rPr>
            </w:pPr>
            <w:r w:rsidRPr="00C23AD8">
              <w:rPr>
                <w:b/>
                <w:color w:val="000000"/>
                <w:sz w:val="16"/>
                <w:szCs w:val="16"/>
              </w:rPr>
              <w:t>Contrapartidă națională</w:t>
            </w:r>
          </w:p>
          <w:p w:rsidR="00227504" w:rsidRPr="00C23AD8" w:rsidRDefault="00F9213F" w:rsidP="00717F20">
            <w:pPr>
              <w:tabs>
                <w:tab w:val="left" w:pos="426"/>
              </w:tabs>
              <w:spacing w:after="0"/>
              <w:jc w:val="center"/>
              <w:rPr>
                <w:rFonts w:eastAsia="Arial Unicode MS"/>
                <w:b/>
                <w:color w:val="000000"/>
                <w:sz w:val="16"/>
                <w:szCs w:val="16"/>
              </w:rPr>
            </w:pPr>
            <w:r w:rsidRPr="00C23AD8">
              <w:rPr>
                <w:b/>
                <w:color w:val="000000"/>
                <w:sz w:val="16"/>
                <w:szCs w:val="16"/>
              </w:rPr>
              <w:t>(b) = (c) + (d)</w:t>
            </w:r>
          </w:p>
        </w:tc>
        <w:tc>
          <w:tcPr>
            <w:tcW w:w="3118" w:type="dxa"/>
            <w:gridSpan w:val="2"/>
            <w:shd w:val="clear" w:color="auto" w:fill="auto"/>
          </w:tcPr>
          <w:p w:rsidR="00227504" w:rsidRPr="00764860" w:rsidRDefault="00F9213F" w:rsidP="00717F20">
            <w:pPr>
              <w:tabs>
                <w:tab w:val="left" w:pos="426"/>
              </w:tabs>
              <w:spacing w:after="60"/>
              <w:jc w:val="center"/>
              <w:rPr>
                <w:rFonts w:eastAsia="Arial Unicode MS"/>
                <w:b/>
                <w:color w:val="000000"/>
                <w:sz w:val="16"/>
                <w:szCs w:val="16"/>
              </w:rPr>
            </w:pPr>
            <w:r>
              <w:rPr>
                <w:rFonts w:eastAsia="Arial Unicode MS"/>
                <w:b/>
                <w:color w:val="000000"/>
                <w:sz w:val="16"/>
                <w:szCs w:val="16"/>
              </w:rPr>
              <w:t>Defalcarea indicativă a contrapartidei naționale</w:t>
            </w:r>
          </w:p>
        </w:tc>
        <w:tc>
          <w:tcPr>
            <w:tcW w:w="1559" w:type="dxa"/>
            <w:vMerge w:val="restart"/>
            <w:shd w:val="clear" w:color="auto" w:fill="auto"/>
          </w:tcPr>
          <w:p w:rsidR="00227504" w:rsidRPr="00C23AD8" w:rsidRDefault="00F9213F" w:rsidP="00717F20">
            <w:pPr>
              <w:tabs>
                <w:tab w:val="left" w:pos="426"/>
              </w:tabs>
              <w:spacing w:after="0"/>
              <w:jc w:val="center"/>
              <w:rPr>
                <w:b/>
                <w:color w:val="000000"/>
                <w:sz w:val="16"/>
                <w:szCs w:val="16"/>
              </w:rPr>
            </w:pPr>
            <w:r w:rsidRPr="00C23AD8">
              <w:rPr>
                <w:b/>
                <w:color w:val="000000"/>
                <w:sz w:val="16"/>
                <w:szCs w:val="16"/>
              </w:rPr>
              <w:t>Finanțare totală</w:t>
            </w:r>
          </w:p>
          <w:p w:rsidR="00227504" w:rsidRPr="00C23AD8" w:rsidRDefault="00F9213F" w:rsidP="00717F20">
            <w:pPr>
              <w:tabs>
                <w:tab w:val="left" w:pos="426"/>
              </w:tabs>
              <w:spacing w:after="0"/>
              <w:jc w:val="center"/>
              <w:rPr>
                <w:rFonts w:eastAsia="Arial Unicode MS"/>
                <w:b/>
                <w:color w:val="000000"/>
                <w:sz w:val="16"/>
                <w:szCs w:val="16"/>
                <w:lang w:val="pt-PT"/>
              </w:rPr>
            </w:pPr>
            <w:r w:rsidRPr="00C23AD8">
              <w:rPr>
                <w:b/>
                <w:color w:val="000000"/>
                <w:sz w:val="16"/>
                <w:szCs w:val="16"/>
                <w:lang w:val="pt-PT"/>
              </w:rPr>
              <w:t>(e) = (a) + (b)</w:t>
            </w:r>
          </w:p>
        </w:tc>
        <w:tc>
          <w:tcPr>
            <w:tcW w:w="1560" w:type="dxa"/>
            <w:vMerge w:val="restart"/>
            <w:shd w:val="clear" w:color="auto" w:fill="auto"/>
          </w:tcPr>
          <w:p w:rsidR="00227504" w:rsidRPr="00C23AD8" w:rsidRDefault="00F9213F" w:rsidP="00717F20">
            <w:pPr>
              <w:tabs>
                <w:tab w:val="left" w:pos="426"/>
              </w:tabs>
              <w:spacing w:after="0"/>
              <w:jc w:val="center"/>
              <w:rPr>
                <w:b/>
                <w:color w:val="000000"/>
                <w:sz w:val="16"/>
                <w:szCs w:val="16"/>
                <w:lang w:val="pt-PT"/>
              </w:rPr>
            </w:pPr>
            <w:r w:rsidRPr="00C23AD8">
              <w:rPr>
                <w:b/>
                <w:color w:val="000000"/>
                <w:sz w:val="16"/>
                <w:szCs w:val="16"/>
                <w:lang w:val="pt-PT"/>
              </w:rPr>
              <w:t>Rata de cofinanțare</w:t>
            </w:r>
          </w:p>
          <w:p w:rsidR="00227504" w:rsidRPr="00C23AD8" w:rsidRDefault="00F9213F" w:rsidP="00717F20">
            <w:pPr>
              <w:tabs>
                <w:tab w:val="left" w:pos="426"/>
              </w:tabs>
              <w:spacing w:after="0"/>
              <w:jc w:val="center"/>
              <w:rPr>
                <w:rFonts w:eastAsia="Arial Unicode MS"/>
                <w:b/>
                <w:color w:val="000000"/>
                <w:sz w:val="16"/>
                <w:szCs w:val="16"/>
              </w:rPr>
            </w:pPr>
            <w:r w:rsidRPr="00C23AD8">
              <w:rPr>
                <w:b/>
                <w:color w:val="000000"/>
                <w:sz w:val="16"/>
                <w:szCs w:val="16"/>
              </w:rPr>
              <w:t>(</w:t>
            </w:r>
            <w:r w:rsidRPr="00C23AD8">
              <w:rPr>
                <w:b/>
                <w:color w:val="000000"/>
                <w:sz w:val="16"/>
                <w:szCs w:val="16"/>
              </w:rPr>
              <w:t>f)  = (a)</w:t>
            </w:r>
            <w:r>
              <w:rPr>
                <w:b/>
                <w:color w:val="000000"/>
                <w:sz w:val="16"/>
                <w:szCs w:val="16"/>
              </w:rPr>
              <w:t xml:space="preserve"> </w:t>
            </w:r>
            <w:r w:rsidRPr="00C23AD8">
              <w:rPr>
                <w:b/>
                <w:color w:val="000000"/>
                <w:sz w:val="16"/>
                <w:szCs w:val="16"/>
              </w:rPr>
              <w:t>/</w:t>
            </w:r>
            <w:r>
              <w:rPr>
                <w:b/>
                <w:color w:val="000000"/>
                <w:sz w:val="16"/>
                <w:szCs w:val="16"/>
              </w:rPr>
              <w:t xml:space="preserve"> </w:t>
            </w:r>
            <w:r w:rsidRPr="00C23AD8">
              <w:rPr>
                <w:b/>
                <w:color w:val="000000"/>
                <w:sz w:val="16"/>
                <w:szCs w:val="16"/>
              </w:rPr>
              <w:t>(e)</w:t>
            </w:r>
            <w:r>
              <w:rPr>
                <w:b/>
                <w:color w:val="000000"/>
                <w:sz w:val="16"/>
                <w:szCs w:val="16"/>
              </w:rPr>
              <w:t xml:space="preserve"> (2)</w:t>
            </w:r>
          </w:p>
        </w:tc>
        <w:tc>
          <w:tcPr>
            <w:tcW w:w="1559" w:type="dxa"/>
            <w:vMerge w:val="restart"/>
          </w:tcPr>
          <w:p w:rsidR="00227504" w:rsidRPr="00C23AD8" w:rsidRDefault="00F9213F" w:rsidP="00717F20">
            <w:pPr>
              <w:tabs>
                <w:tab w:val="left" w:pos="426"/>
              </w:tabs>
              <w:spacing w:after="0"/>
              <w:jc w:val="center"/>
              <w:rPr>
                <w:rFonts w:eastAsia="Arial Unicode MS"/>
                <w:b/>
                <w:color w:val="000000"/>
                <w:sz w:val="16"/>
                <w:szCs w:val="16"/>
              </w:rPr>
            </w:pPr>
            <w:r w:rsidRPr="00C23AD8">
              <w:rPr>
                <w:b/>
                <w:color w:val="000000"/>
                <w:sz w:val="16"/>
                <w:szCs w:val="16"/>
              </w:rPr>
              <w:t>Contribuțiile BEI</w:t>
            </w:r>
            <w:r>
              <w:rPr>
                <w:b/>
                <w:color w:val="000000"/>
                <w:sz w:val="16"/>
                <w:szCs w:val="16"/>
              </w:rPr>
              <w:t xml:space="preserve"> (g)</w:t>
            </w:r>
          </w:p>
        </w:tc>
      </w:tr>
      <w:tr w:rsidR="00B31B05" w:rsidTr="00CD448D">
        <w:trPr>
          <w:trHeight w:val="510"/>
          <w:tblHeader/>
        </w:trPr>
        <w:tc>
          <w:tcPr>
            <w:tcW w:w="709" w:type="dxa"/>
            <w:vMerge/>
            <w:shd w:val="clear" w:color="auto" w:fill="auto"/>
          </w:tcPr>
          <w:p w:rsidR="00227504" w:rsidRPr="00C23AD8" w:rsidRDefault="00F9213F" w:rsidP="00717F20">
            <w:pPr>
              <w:jc w:val="center"/>
              <w:rPr>
                <w:b/>
                <w:color w:val="000000"/>
                <w:sz w:val="16"/>
                <w:szCs w:val="16"/>
              </w:rPr>
            </w:pPr>
          </w:p>
        </w:tc>
        <w:tc>
          <w:tcPr>
            <w:tcW w:w="709" w:type="dxa"/>
            <w:vMerge/>
            <w:shd w:val="clear" w:color="auto" w:fill="auto"/>
          </w:tcPr>
          <w:p w:rsidR="00227504" w:rsidRPr="00C23AD8" w:rsidRDefault="00F9213F" w:rsidP="00717F20">
            <w:pPr>
              <w:tabs>
                <w:tab w:val="left" w:pos="426"/>
              </w:tabs>
              <w:jc w:val="center"/>
              <w:rPr>
                <w:b/>
                <w:color w:val="000000"/>
                <w:sz w:val="16"/>
                <w:szCs w:val="16"/>
              </w:rPr>
            </w:pPr>
          </w:p>
        </w:tc>
        <w:tc>
          <w:tcPr>
            <w:tcW w:w="1559" w:type="dxa"/>
            <w:vMerge/>
            <w:shd w:val="clear" w:color="auto" w:fill="auto"/>
          </w:tcPr>
          <w:p w:rsidR="00227504" w:rsidRPr="00C23AD8" w:rsidRDefault="00F9213F" w:rsidP="00717F20">
            <w:pPr>
              <w:tabs>
                <w:tab w:val="left" w:pos="426"/>
              </w:tabs>
              <w:jc w:val="center"/>
              <w:rPr>
                <w:b/>
                <w:color w:val="000000"/>
                <w:sz w:val="16"/>
                <w:szCs w:val="16"/>
              </w:rPr>
            </w:pPr>
          </w:p>
        </w:tc>
        <w:tc>
          <w:tcPr>
            <w:tcW w:w="1228" w:type="dxa"/>
            <w:vMerge/>
            <w:shd w:val="clear" w:color="auto" w:fill="auto"/>
          </w:tcPr>
          <w:p w:rsidR="00227504" w:rsidRPr="00C23AD8" w:rsidRDefault="00F9213F" w:rsidP="00717F20">
            <w:pPr>
              <w:tabs>
                <w:tab w:val="left" w:pos="426"/>
              </w:tabs>
              <w:jc w:val="center"/>
              <w:rPr>
                <w:b/>
                <w:color w:val="000000"/>
                <w:sz w:val="16"/>
                <w:szCs w:val="16"/>
              </w:rPr>
            </w:pPr>
          </w:p>
        </w:tc>
        <w:tc>
          <w:tcPr>
            <w:tcW w:w="1559" w:type="dxa"/>
            <w:vMerge/>
            <w:shd w:val="clear" w:color="auto" w:fill="auto"/>
          </w:tcPr>
          <w:p w:rsidR="00227504" w:rsidRPr="00C23AD8" w:rsidRDefault="00F9213F" w:rsidP="00717F20">
            <w:pPr>
              <w:tabs>
                <w:tab w:val="left" w:pos="426"/>
              </w:tabs>
              <w:jc w:val="center"/>
              <w:rPr>
                <w:b/>
                <w:color w:val="000000"/>
                <w:sz w:val="16"/>
                <w:szCs w:val="16"/>
              </w:rPr>
            </w:pPr>
          </w:p>
        </w:tc>
        <w:tc>
          <w:tcPr>
            <w:tcW w:w="1560" w:type="dxa"/>
            <w:vMerge/>
            <w:shd w:val="clear" w:color="auto" w:fill="auto"/>
          </w:tcPr>
          <w:p w:rsidR="00227504" w:rsidRPr="00C23AD8" w:rsidRDefault="00F9213F" w:rsidP="00717F20">
            <w:pPr>
              <w:tabs>
                <w:tab w:val="left" w:pos="426"/>
              </w:tabs>
              <w:jc w:val="center"/>
              <w:rPr>
                <w:b/>
                <w:color w:val="000000"/>
                <w:sz w:val="16"/>
                <w:szCs w:val="16"/>
              </w:rPr>
            </w:pPr>
          </w:p>
        </w:tc>
        <w:tc>
          <w:tcPr>
            <w:tcW w:w="1559" w:type="dxa"/>
            <w:shd w:val="clear" w:color="auto" w:fill="auto"/>
          </w:tcPr>
          <w:p w:rsidR="00227504" w:rsidRPr="00AA1B27" w:rsidRDefault="00F9213F" w:rsidP="00717F20">
            <w:pPr>
              <w:tabs>
                <w:tab w:val="left" w:pos="426"/>
              </w:tabs>
              <w:spacing w:before="60" w:after="60"/>
              <w:jc w:val="center"/>
              <w:rPr>
                <w:b/>
                <w:color w:val="000000"/>
                <w:sz w:val="16"/>
                <w:szCs w:val="16"/>
              </w:rPr>
            </w:pPr>
            <w:r w:rsidRPr="00AA1B27">
              <w:rPr>
                <w:b/>
                <w:color w:val="000000"/>
                <w:sz w:val="16"/>
                <w:szCs w:val="16"/>
              </w:rPr>
              <w:t>Finanțarea publică națională</w:t>
            </w:r>
          </w:p>
          <w:p w:rsidR="00227504" w:rsidRPr="00C23AD8" w:rsidRDefault="00F9213F" w:rsidP="00717F20">
            <w:pPr>
              <w:tabs>
                <w:tab w:val="left" w:pos="426"/>
              </w:tabs>
              <w:spacing w:before="0" w:after="60"/>
              <w:jc w:val="center"/>
              <w:rPr>
                <w:b/>
                <w:color w:val="000000"/>
                <w:sz w:val="16"/>
                <w:szCs w:val="16"/>
              </w:rPr>
            </w:pPr>
            <w:r w:rsidRPr="00AA1B27">
              <w:rPr>
                <w:b/>
                <w:color w:val="000000"/>
                <w:sz w:val="16"/>
                <w:szCs w:val="16"/>
              </w:rPr>
              <w:t>(c )</w:t>
            </w:r>
          </w:p>
        </w:tc>
        <w:tc>
          <w:tcPr>
            <w:tcW w:w="1559" w:type="dxa"/>
            <w:shd w:val="clear" w:color="auto" w:fill="auto"/>
          </w:tcPr>
          <w:p w:rsidR="00227504" w:rsidRPr="008D53A7" w:rsidRDefault="00F9213F" w:rsidP="00717F20">
            <w:pPr>
              <w:spacing w:before="60" w:after="60"/>
              <w:jc w:val="center"/>
              <w:rPr>
                <w:b/>
                <w:color w:val="000000"/>
                <w:sz w:val="16"/>
                <w:szCs w:val="16"/>
              </w:rPr>
            </w:pPr>
            <w:r>
              <w:rPr>
                <w:b/>
                <w:color w:val="000000"/>
                <w:sz w:val="16"/>
                <w:szCs w:val="16"/>
              </w:rPr>
              <w:t>Finanțarea publică națională</w:t>
            </w:r>
          </w:p>
          <w:p w:rsidR="00227504" w:rsidRPr="00C23AD8" w:rsidRDefault="00F9213F" w:rsidP="00717F20">
            <w:pPr>
              <w:tabs>
                <w:tab w:val="left" w:pos="426"/>
              </w:tabs>
              <w:spacing w:before="60" w:after="60"/>
              <w:jc w:val="center"/>
              <w:rPr>
                <w:b/>
                <w:color w:val="000000"/>
                <w:sz w:val="16"/>
                <w:szCs w:val="16"/>
              </w:rPr>
            </w:pPr>
            <w:r w:rsidRPr="00AA1B27">
              <w:rPr>
                <w:b/>
                <w:color w:val="000000"/>
                <w:sz w:val="16"/>
                <w:szCs w:val="16"/>
              </w:rPr>
              <w:t>(d)</w:t>
            </w:r>
            <w:r>
              <w:rPr>
                <w:b/>
                <w:color w:val="000000"/>
                <w:sz w:val="16"/>
                <w:szCs w:val="16"/>
              </w:rPr>
              <w:t xml:space="preserve"> (1)</w:t>
            </w:r>
          </w:p>
        </w:tc>
        <w:tc>
          <w:tcPr>
            <w:tcW w:w="1559" w:type="dxa"/>
            <w:vMerge/>
            <w:shd w:val="clear" w:color="auto" w:fill="auto"/>
          </w:tcPr>
          <w:p w:rsidR="00227504" w:rsidRPr="00C23AD8" w:rsidRDefault="00F9213F" w:rsidP="00717F20">
            <w:pPr>
              <w:tabs>
                <w:tab w:val="left" w:pos="426"/>
              </w:tabs>
              <w:jc w:val="center"/>
              <w:rPr>
                <w:b/>
                <w:color w:val="000000"/>
                <w:sz w:val="16"/>
                <w:szCs w:val="16"/>
              </w:rPr>
            </w:pPr>
          </w:p>
        </w:tc>
        <w:tc>
          <w:tcPr>
            <w:tcW w:w="1560" w:type="dxa"/>
            <w:vMerge/>
            <w:shd w:val="clear" w:color="auto" w:fill="auto"/>
          </w:tcPr>
          <w:p w:rsidR="00227504" w:rsidRPr="00C23AD8" w:rsidRDefault="00F9213F" w:rsidP="00717F20">
            <w:pPr>
              <w:tabs>
                <w:tab w:val="left" w:pos="426"/>
              </w:tabs>
              <w:jc w:val="center"/>
              <w:rPr>
                <w:b/>
                <w:color w:val="000000"/>
                <w:sz w:val="16"/>
                <w:szCs w:val="16"/>
              </w:rPr>
            </w:pPr>
          </w:p>
        </w:tc>
        <w:tc>
          <w:tcPr>
            <w:tcW w:w="1559" w:type="dxa"/>
            <w:vMerge/>
          </w:tcPr>
          <w:p w:rsidR="00227504" w:rsidRPr="00AA1B27" w:rsidRDefault="00F9213F" w:rsidP="00717F20">
            <w:pPr>
              <w:jc w:val="center"/>
              <w:rPr>
                <w:b/>
                <w:color w:val="000000"/>
                <w:sz w:val="14"/>
                <w:szCs w:val="14"/>
              </w:rPr>
            </w:pPr>
          </w:p>
        </w:tc>
      </w:tr>
      <w:tr w:rsidR="00B31B05" w:rsidTr="00CD448D">
        <w:trPr>
          <w:trHeight w:val="288"/>
        </w:trPr>
        <w:tc>
          <w:tcPr>
            <w:tcW w:w="709" w:type="dxa"/>
            <w:shd w:val="clear" w:color="auto" w:fill="auto"/>
          </w:tcPr>
          <w:p w:rsidR="00227504" w:rsidRPr="00B247D1" w:rsidRDefault="00F9213F" w:rsidP="00717F20">
            <w:pPr>
              <w:tabs>
                <w:tab w:val="left" w:pos="426"/>
              </w:tabs>
              <w:rPr>
                <w:rFonts w:eastAsia="Arial Unicode MS"/>
                <w:b/>
                <w:color w:val="000000"/>
                <w:sz w:val="10"/>
                <w:szCs w:val="10"/>
              </w:rPr>
            </w:pPr>
            <w:r w:rsidRPr="00B247D1">
              <w:rPr>
                <w:color w:val="000000"/>
                <w:sz w:val="10"/>
                <w:szCs w:val="10"/>
              </w:rPr>
              <w:t>AP 1</w:t>
            </w:r>
          </w:p>
        </w:tc>
        <w:tc>
          <w:tcPr>
            <w:tcW w:w="709" w:type="dxa"/>
            <w:shd w:val="clear" w:color="auto" w:fill="auto"/>
          </w:tcPr>
          <w:p w:rsidR="00227504" w:rsidRPr="00B247D1" w:rsidRDefault="00F9213F" w:rsidP="00717F20">
            <w:pPr>
              <w:tabs>
                <w:tab w:val="left" w:pos="426"/>
              </w:tabs>
              <w:jc w:val="left"/>
              <w:rPr>
                <w:rFonts w:eastAsia="Arial Unicode MS"/>
                <w:color w:val="000000"/>
                <w:sz w:val="10"/>
                <w:szCs w:val="10"/>
              </w:rPr>
            </w:pPr>
            <w:r w:rsidRPr="00B247D1">
              <w:rPr>
                <w:rFonts w:eastAsia="Arial Unicode MS"/>
                <w:color w:val="000000"/>
                <w:sz w:val="10"/>
                <w:szCs w:val="10"/>
              </w:rPr>
              <w:t>FEDR</w:t>
            </w:r>
          </w:p>
        </w:tc>
        <w:tc>
          <w:tcPr>
            <w:tcW w:w="1559" w:type="dxa"/>
            <w:shd w:val="clear" w:color="auto" w:fill="auto"/>
          </w:tcPr>
          <w:p w:rsidR="00227504" w:rsidRPr="00B247D1" w:rsidRDefault="00F9213F" w:rsidP="00717F20">
            <w:pPr>
              <w:tabs>
                <w:tab w:val="left" w:pos="426"/>
              </w:tabs>
              <w:jc w:val="left"/>
              <w:rPr>
                <w:rFonts w:eastAsia="Arial Unicode MS"/>
                <w:color w:val="000000"/>
                <w:sz w:val="10"/>
                <w:szCs w:val="10"/>
              </w:rPr>
            </w:pPr>
            <w:r w:rsidRPr="00B247D1">
              <w:rPr>
                <w:rFonts w:eastAsia="Arial Unicode MS"/>
                <w:color w:val="000000"/>
                <w:sz w:val="10"/>
                <w:szCs w:val="10"/>
              </w:rPr>
              <w:t>Mai puțin dezvoltate</w:t>
            </w:r>
          </w:p>
        </w:tc>
        <w:tc>
          <w:tcPr>
            <w:tcW w:w="1228" w:type="dxa"/>
            <w:shd w:val="clear" w:color="auto" w:fill="auto"/>
          </w:tcPr>
          <w:p w:rsidR="00227504" w:rsidRPr="00B247D1" w:rsidRDefault="00F9213F" w:rsidP="00415533">
            <w:pPr>
              <w:tabs>
                <w:tab w:val="left" w:pos="426"/>
              </w:tabs>
              <w:jc w:val="center"/>
              <w:rPr>
                <w:rFonts w:eastAsia="Arial Unicode MS"/>
                <w:color w:val="000000"/>
                <w:sz w:val="10"/>
                <w:szCs w:val="10"/>
              </w:rPr>
            </w:pPr>
            <w:r>
              <w:rPr>
                <w:rFonts w:eastAsia="Arial Unicode MS"/>
                <w:b/>
                <w:color w:val="000000"/>
                <w:sz w:val="10"/>
                <w:szCs w:val="10"/>
              </w:rPr>
              <w:t>Error! Reference source not found.</w:t>
            </w:r>
            <w:r w:rsidRPr="00B247D1">
              <w:rPr>
                <w:rFonts w:eastAsia="Arial Unicode MS"/>
                <w:color w:val="000000"/>
                <w:sz w:val="10"/>
                <w:szCs w:val="10"/>
              </w:rPr>
              <w:t xml:space="preserve"> </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color w:val="000000"/>
                <w:sz w:val="10"/>
                <w:szCs w:val="10"/>
              </w:rPr>
              <w:t>86.170.214,00</w:t>
            </w:r>
          </w:p>
        </w:tc>
        <w:tc>
          <w:tcPr>
            <w:tcW w:w="1560"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b/>
                <w:color w:val="000000"/>
                <w:sz w:val="10"/>
                <w:szCs w:val="10"/>
              </w:rPr>
            </w:pPr>
            <w:r w:rsidRPr="00B247D1">
              <w:rPr>
                <w:rFonts w:eastAsia="Arial Unicode MS"/>
                <w:color w:val="000000"/>
                <w:sz w:val="10"/>
                <w:szCs w:val="10"/>
              </w:rPr>
              <w:t>86.170.214,00</w:t>
            </w:r>
          </w:p>
        </w:tc>
        <w:tc>
          <w:tcPr>
            <w:tcW w:w="1560" w:type="dxa"/>
            <w:shd w:val="clear" w:color="auto" w:fill="auto"/>
          </w:tcPr>
          <w:p w:rsidR="00227504" w:rsidRPr="00B247D1" w:rsidRDefault="00F9213F" w:rsidP="007414BD">
            <w:pPr>
              <w:tabs>
                <w:tab w:val="left" w:pos="426"/>
              </w:tabs>
              <w:jc w:val="right"/>
              <w:rPr>
                <w:rFonts w:eastAsia="Arial Unicode MS"/>
                <w:color w:val="000000"/>
                <w:sz w:val="10"/>
                <w:szCs w:val="10"/>
              </w:rPr>
            </w:pPr>
            <w:r>
              <w:rPr>
                <w:rFonts w:eastAsia="Arial Unicode MS"/>
                <w:color w:val="000000"/>
                <w:sz w:val="10"/>
                <w:szCs w:val="10"/>
              </w:rPr>
              <w:t>100,0000000000%</w:t>
            </w:r>
          </w:p>
        </w:tc>
        <w:tc>
          <w:tcPr>
            <w:tcW w:w="1559" w:type="dxa"/>
          </w:tcPr>
          <w:p w:rsidR="00227504" w:rsidRPr="00B247D1" w:rsidRDefault="00F9213F" w:rsidP="00383989">
            <w:pPr>
              <w:tabs>
                <w:tab w:val="left" w:pos="426"/>
              </w:tabs>
              <w:jc w:val="right"/>
              <w:rPr>
                <w:rFonts w:eastAsia="Arial Unicode MS"/>
                <w:color w:val="000000"/>
                <w:sz w:val="10"/>
                <w:szCs w:val="10"/>
              </w:rPr>
            </w:pPr>
          </w:p>
        </w:tc>
      </w:tr>
      <w:tr w:rsidR="00B31B05" w:rsidTr="00CD448D">
        <w:trPr>
          <w:trHeight w:val="288"/>
        </w:trPr>
        <w:tc>
          <w:tcPr>
            <w:tcW w:w="709" w:type="dxa"/>
            <w:shd w:val="clear" w:color="auto" w:fill="auto"/>
          </w:tcPr>
          <w:p w:rsidR="00227504" w:rsidRPr="00B247D1" w:rsidRDefault="00F9213F" w:rsidP="00717F20">
            <w:pPr>
              <w:tabs>
                <w:tab w:val="left" w:pos="426"/>
              </w:tabs>
              <w:rPr>
                <w:rFonts w:eastAsia="Arial Unicode MS"/>
                <w:b/>
                <w:color w:val="000000"/>
                <w:sz w:val="10"/>
                <w:szCs w:val="10"/>
              </w:rPr>
            </w:pPr>
            <w:r w:rsidRPr="00B247D1">
              <w:rPr>
                <w:color w:val="000000"/>
                <w:sz w:val="10"/>
                <w:szCs w:val="10"/>
              </w:rPr>
              <w:t>AP 1</w:t>
            </w:r>
          </w:p>
        </w:tc>
        <w:tc>
          <w:tcPr>
            <w:tcW w:w="709" w:type="dxa"/>
            <w:shd w:val="clear" w:color="auto" w:fill="auto"/>
          </w:tcPr>
          <w:p w:rsidR="00227504" w:rsidRPr="00B247D1" w:rsidRDefault="00F9213F" w:rsidP="00717F20">
            <w:pPr>
              <w:tabs>
                <w:tab w:val="left" w:pos="426"/>
              </w:tabs>
              <w:jc w:val="left"/>
              <w:rPr>
                <w:rFonts w:eastAsia="Arial Unicode MS"/>
                <w:color w:val="000000"/>
                <w:sz w:val="10"/>
                <w:szCs w:val="10"/>
              </w:rPr>
            </w:pPr>
            <w:r w:rsidRPr="00B247D1">
              <w:rPr>
                <w:rFonts w:eastAsia="Arial Unicode MS"/>
                <w:color w:val="000000"/>
                <w:sz w:val="10"/>
                <w:szCs w:val="10"/>
              </w:rPr>
              <w:t>FEDR</w:t>
            </w:r>
          </w:p>
        </w:tc>
        <w:tc>
          <w:tcPr>
            <w:tcW w:w="1559" w:type="dxa"/>
            <w:shd w:val="clear" w:color="auto" w:fill="auto"/>
          </w:tcPr>
          <w:p w:rsidR="00227504" w:rsidRPr="00B247D1" w:rsidRDefault="00F9213F" w:rsidP="00717F20">
            <w:pPr>
              <w:tabs>
                <w:tab w:val="left" w:pos="426"/>
              </w:tabs>
              <w:jc w:val="left"/>
              <w:rPr>
                <w:rFonts w:eastAsia="Arial Unicode MS"/>
                <w:color w:val="000000"/>
                <w:sz w:val="10"/>
                <w:szCs w:val="10"/>
              </w:rPr>
            </w:pPr>
            <w:r w:rsidRPr="00B247D1">
              <w:rPr>
                <w:rFonts w:eastAsia="Arial Unicode MS"/>
                <w:color w:val="000000"/>
                <w:sz w:val="10"/>
                <w:szCs w:val="10"/>
              </w:rPr>
              <w:t>Mai dezvoltate</w:t>
            </w:r>
          </w:p>
        </w:tc>
        <w:tc>
          <w:tcPr>
            <w:tcW w:w="1228" w:type="dxa"/>
            <w:shd w:val="clear" w:color="auto" w:fill="auto"/>
          </w:tcPr>
          <w:p w:rsidR="00227504" w:rsidRPr="00B247D1" w:rsidRDefault="00F9213F" w:rsidP="00415533">
            <w:pPr>
              <w:tabs>
                <w:tab w:val="left" w:pos="426"/>
              </w:tabs>
              <w:jc w:val="center"/>
              <w:rPr>
                <w:rFonts w:eastAsia="Arial Unicode MS"/>
                <w:color w:val="000000"/>
                <w:sz w:val="10"/>
                <w:szCs w:val="10"/>
              </w:rPr>
            </w:pPr>
            <w:r>
              <w:rPr>
                <w:rFonts w:eastAsia="Arial Unicode MS"/>
                <w:b/>
                <w:color w:val="000000"/>
                <w:sz w:val="10"/>
                <w:szCs w:val="10"/>
              </w:rPr>
              <w:t>Error! Reference source not found.</w:t>
            </w:r>
            <w:r w:rsidRPr="00B247D1">
              <w:rPr>
                <w:rFonts w:eastAsia="Arial Unicode MS"/>
                <w:color w:val="000000"/>
                <w:sz w:val="10"/>
                <w:szCs w:val="10"/>
              </w:rPr>
              <w:t xml:space="preserve"> </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color w:val="000000"/>
                <w:sz w:val="10"/>
                <w:szCs w:val="10"/>
              </w:rPr>
              <w:t>13.829.786,00</w:t>
            </w:r>
          </w:p>
        </w:tc>
        <w:tc>
          <w:tcPr>
            <w:tcW w:w="1560"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b/>
                <w:color w:val="000000"/>
                <w:sz w:val="10"/>
                <w:szCs w:val="10"/>
              </w:rPr>
            </w:pPr>
            <w:r w:rsidRPr="00B247D1">
              <w:rPr>
                <w:rFonts w:eastAsia="Arial Unicode MS"/>
                <w:color w:val="000000"/>
                <w:sz w:val="10"/>
                <w:szCs w:val="10"/>
              </w:rPr>
              <w:t>13.829.786,00</w:t>
            </w:r>
          </w:p>
        </w:tc>
        <w:tc>
          <w:tcPr>
            <w:tcW w:w="1560" w:type="dxa"/>
            <w:shd w:val="clear" w:color="auto" w:fill="auto"/>
          </w:tcPr>
          <w:p w:rsidR="00227504" w:rsidRPr="00B247D1" w:rsidRDefault="00F9213F" w:rsidP="007414BD">
            <w:pPr>
              <w:tabs>
                <w:tab w:val="left" w:pos="426"/>
              </w:tabs>
              <w:jc w:val="right"/>
              <w:rPr>
                <w:rFonts w:eastAsia="Arial Unicode MS"/>
                <w:color w:val="000000"/>
                <w:sz w:val="10"/>
                <w:szCs w:val="10"/>
              </w:rPr>
            </w:pPr>
            <w:r>
              <w:rPr>
                <w:rFonts w:eastAsia="Arial Unicode MS"/>
                <w:color w:val="000000"/>
                <w:sz w:val="10"/>
                <w:szCs w:val="10"/>
              </w:rPr>
              <w:t>100,0000000000%</w:t>
            </w:r>
          </w:p>
        </w:tc>
        <w:tc>
          <w:tcPr>
            <w:tcW w:w="1559" w:type="dxa"/>
          </w:tcPr>
          <w:p w:rsidR="00227504" w:rsidRPr="00B247D1" w:rsidRDefault="00F9213F" w:rsidP="00383989">
            <w:pPr>
              <w:tabs>
                <w:tab w:val="left" w:pos="426"/>
              </w:tabs>
              <w:jc w:val="right"/>
              <w:rPr>
                <w:rFonts w:eastAsia="Arial Unicode MS"/>
                <w:color w:val="000000"/>
                <w:sz w:val="10"/>
                <w:szCs w:val="10"/>
              </w:rPr>
            </w:pPr>
          </w:p>
        </w:tc>
      </w:tr>
      <w:tr w:rsidR="00B31B05" w:rsidTr="00CD448D">
        <w:trPr>
          <w:trHeight w:val="288"/>
        </w:trPr>
        <w:tc>
          <w:tcPr>
            <w:tcW w:w="709" w:type="dxa"/>
            <w:shd w:val="clear" w:color="auto" w:fill="auto"/>
          </w:tcPr>
          <w:p w:rsidR="00227504" w:rsidRPr="00B247D1" w:rsidRDefault="00F9213F" w:rsidP="00717F20">
            <w:pPr>
              <w:tabs>
                <w:tab w:val="left" w:pos="426"/>
              </w:tabs>
              <w:rPr>
                <w:rFonts w:eastAsia="Arial Unicode MS"/>
                <w:b/>
                <w:color w:val="000000"/>
                <w:sz w:val="10"/>
                <w:szCs w:val="10"/>
              </w:rPr>
            </w:pPr>
            <w:r w:rsidRPr="00B247D1">
              <w:rPr>
                <w:b/>
                <w:color w:val="000000"/>
                <w:sz w:val="10"/>
                <w:szCs w:val="10"/>
              </w:rPr>
              <w:t>Total</w:t>
            </w:r>
          </w:p>
        </w:tc>
        <w:tc>
          <w:tcPr>
            <w:tcW w:w="709" w:type="dxa"/>
            <w:shd w:val="clear" w:color="auto" w:fill="auto"/>
          </w:tcPr>
          <w:p w:rsidR="00227504" w:rsidRPr="00B247D1" w:rsidRDefault="00F9213F" w:rsidP="00717F20">
            <w:pPr>
              <w:tabs>
                <w:tab w:val="left" w:pos="426"/>
              </w:tabs>
              <w:jc w:val="left"/>
              <w:rPr>
                <w:rFonts w:eastAsia="Arial Unicode MS"/>
                <w:color w:val="000000"/>
                <w:sz w:val="10"/>
                <w:szCs w:val="10"/>
              </w:rPr>
            </w:pPr>
            <w:r w:rsidRPr="00B247D1">
              <w:rPr>
                <w:rFonts w:eastAsia="Arial Unicode MS"/>
                <w:b/>
                <w:color w:val="000000"/>
                <w:sz w:val="10"/>
                <w:szCs w:val="10"/>
              </w:rPr>
              <w:t>FEDR</w:t>
            </w:r>
          </w:p>
        </w:tc>
        <w:tc>
          <w:tcPr>
            <w:tcW w:w="1559" w:type="dxa"/>
            <w:shd w:val="clear" w:color="auto" w:fill="auto"/>
          </w:tcPr>
          <w:p w:rsidR="00227504" w:rsidRPr="00B247D1" w:rsidRDefault="00F9213F" w:rsidP="00717F20">
            <w:pPr>
              <w:tabs>
                <w:tab w:val="left" w:pos="426"/>
              </w:tabs>
              <w:jc w:val="left"/>
              <w:rPr>
                <w:rFonts w:eastAsia="Arial Unicode MS"/>
                <w:color w:val="000000"/>
                <w:sz w:val="10"/>
                <w:szCs w:val="10"/>
              </w:rPr>
            </w:pPr>
            <w:r w:rsidRPr="00B247D1">
              <w:rPr>
                <w:rFonts w:eastAsia="Arial Unicode MS"/>
                <w:b/>
                <w:color w:val="000000"/>
                <w:sz w:val="10"/>
                <w:szCs w:val="10"/>
              </w:rPr>
              <w:t>Mai puțin dezvoltate</w:t>
            </w:r>
          </w:p>
        </w:tc>
        <w:tc>
          <w:tcPr>
            <w:tcW w:w="1228" w:type="dxa"/>
            <w:shd w:val="clear" w:color="auto" w:fill="auto"/>
          </w:tcPr>
          <w:p w:rsidR="00227504" w:rsidRPr="00B247D1" w:rsidRDefault="00F9213F" w:rsidP="00415533">
            <w:pPr>
              <w:tabs>
                <w:tab w:val="left" w:pos="426"/>
              </w:tabs>
              <w:jc w:val="center"/>
              <w:rPr>
                <w:rFonts w:eastAsia="Arial Unicode MS"/>
                <w:color w:val="000000"/>
                <w:sz w:val="10"/>
                <w:szCs w:val="10"/>
              </w:rPr>
            </w:pP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86.170.214,00</w:t>
            </w:r>
          </w:p>
        </w:tc>
        <w:tc>
          <w:tcPr>
            <w:tcW w:w="1560"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b/>
                <w:color w:val="000000"/>
                <w:sz w:val="10"/>
                <w:szCs w:val="10"/>
              </w:rPr>
            </w:pPr>
            <w:r w:rsidRPr="00B247D1">
              <w:rPr>
                <w:rFonts w:eastAsia="Arial Unicode MS"/>
                <w:b/>
                <w:color w:val="000000"/>
                <w:sz w:val="10"/>
                <w:szCs w:val="10"/>
              </w:rPr>
              <w:t>86.170.214,00</w:t>
            </w:r>
          </w:p>
        </w:tc>
        <w:tc>
          <w:tcPr>
            <w:tcW w:w="1560" w:type="dxa"/>
            <w:shd w:val="clear" w:color="auto" w:fill="auto"/>
          </w:tcPr>
          <w:p w:rsidR="00227504" w:rsidRPr="00B247D1" w:rsidRDefault="00F9213F" w:rsidP="007414BD">
            <w:pPr>
              <w:tabs>
                <w:tab w:val="left" w:pos="426"/>
              </w:tabs>
              <w:jc w:val="right"/>
              <w:rPr>
                <w:rFonts w:eastAsia="Arial Unicode MS"/>
                <w:color w:val="000000"/>
                <w:sz w:val="10"/>
                <w:szCs w:val="10"/>
              </w:rPr>
            </w:pPr>
            <w:r>
              <w:rPr>
                <w:rFonts w:eastAsia="Arial Unicode MS"/>
                <w:b/>
                <w:color w:val="000000"/>
                <w:sz w:val="10"/>
                <w:szCs w:val="10"/>
              </w:rPr>
              <w:t>100,0000000000%</w:t>
            </w:r>
          </w:p>
        </w:tc>
        <w:tc>
          <w:tcPr>
            <w:tcW w:w="1559" w:type="dxa"/>
          </w:tcPr>
          <w:p w:rsidR="00227504" w:rsidRPr="00B247D1" w:rsidRDefault="00F9213F" w:rsidP="00383989">
            <w:pPr>
              <w:tabs>
                <w:tab w:val="left" w:pos="426"/>
              </w:tabs>
              <w:jc w:val="right"/>
              <w:rPr>
                <w:rFonts w:eastAsia="Arial Unicode MS"/>
                <w:color w:val="000000"/>
                <w:sz w:val="10"/>
                <w:szCs w:val="10"/>
              </w:rPr>
            </w:pPr>
            <w:r>
              <w:rPr>
                <w:rFonts w:eastAsia="Arial Unicode MS"/>
                <w:b/>
                <w:noProof/>
                <w:color w:val="000000"/>
                <w:sz w:val="10"/>
                <w:szCs w:val="10"/>
              </w:rPr>
              <w:t>«totalEibAmount»</w:t>
            </w:r>
          </w:p>
        </w:tc>
      </w:tr>
      <w:tr w:rsidR="00B31B05" w:rsidTr="00CD448D">
        <w:trPr>
          <w:trHeight w:val="288"/>
        </w:trPr>
        <w:tc>
          <w:tcPr>
            <w:tcW w:w="709" w:type="dxa"/>
            <w:shd w:val="clear" w:color="auto" w:fill="auto"/>
          </w:tcPr>
          <w:p w:rsidR="00227504" w:rsidRPr="00B247D1" w:rsidRDefault="00F9213F" w:rsidP="00717F20">
            <w:pPr>
              <w:tabs>
                <w:tab w:val="left" w:pos="426"/>
              </w:tabs>
              <w:rPr>
                <w:rFonts w:eastAsia="Arial Unicode MS"/>
                <w:b/>
                <w:color w:val="000000"/>
                <w:sz w:val="10"/>
                <w:szCs w:val="10"/>
              </w:rPr>
            </w:pPr>
            <w:r w:rsidRPr="00B247D1">
              <w:rPr>
                <w:b/>
                <w:color w:val="000000"/>
                <w:sz w:val="10"/>
                <w:szCs w:val="10"/>
              </w:rPr>
              <w:t>Total</w:t>
            </w:r>
          </w:p>
        </w:tc>
        <w:tc>
          <w:tcPr>
            <w:tcW w:w="709" w:type="dxa"/>
            <w:shd w:val="clear" w:color="auto" w:fill="auto"/>
          </w:tcPr>
          <w:p w:rsidR="00227504" w:rsidRPr="00B247D1" w:rsidRDefault="00F9213F" w:rsidP="00717F20">
            <w:pPr>
              <w:tabs>
                <w:tab w:val="left" w:pos="426"/>
              </w:tabs>
              <w:jc w:val="left"/>
              <w:rPr>
                <w:rFonts w:eastAsia="Arial Unicode MS"/>
                <w:color w:val="000000"/>
                <w:sz w:val="10"/>
                <w:szCs w:val="10"/>
              </w:rPr>
            </w:pPr>
            <w:r w:rsidRPr="00B247D1">
              <w:rPr>
                <w:rFonts w:eastAsia="Arial Unicode MS"/>
                <w:b/>
                <w:color w:val="000000"/>
                <w:sz w:val="10"/>
                <w:szCs w:val="10"/>
              </w:rPr>
              <w:t>FEDR</w:t>
            </w:r>
          </w:p>
        </w:tc>
        <w:tc>
          <w:tcPr>
            <w:tcW w:w="1559" w:type="dxa"/>
            <w:shd w:val="clear" w:color="auto" w:fill="auto"/>
          </w:tcPr>
          <w:p w:rsidR="00227504" w:rsidRPr="00B247D1" w:rsidRDefault="00F9213F" w:rsidP="00717F20">
            <w:pPr>
              <w:tabs>
                <w:tab w:val="left" w:pos="426"/>
              </w:tabs>
              <w:jc w:val="left"/>
              <w:rPr>
                <w:rFonts w:eastAsia="Arial Unicode MS"/>
                <w:color w:val="000000"/>
                <w:sz w:val="10"/>
                <w:szCs w:val="10"/>
              </w:rPr>
            </w:pPr>
            <w:r w:rsidRPr="00B247D1">
              <w:rPr>
                <w:rFonts w:eastAsia="Arial Unicode MS"/>
                <w:b/>
                <w:color w:val="000000"/>
                <w:sz w:val="10"/>
                <w:szCs w:val="10"/>
              </w:rPr>
              <w:t>Mai dezvoltate</w:t>
            </w:r>
          </w:p>
        </w:tc>
        <w:tc>
          <w:tcPr>
            <w:tcW w:w="1228" w:type="dxa"/>
            <w:shd w:val="clear" w:color="auto" w:fill="auto"/>
          </w:tcPr>
          <w:p w:rsidR="00227504" w:rsidRPr="00B247D1" w:rsidRDefault="00F9213F" w:rsidP="00415533">
            <w:pPr>
              <w:tabs>
                <w:tab w:val="left" w:pos="426"/>
              </w:tabs>
              <w:jc w:val="center"/>
              <w:rPr>
                <w:rFonts w:eastAsia="Arial Unicode MS"/>
                <w:color w:val="000000"/>
                <w:sz w:val="10"/>
                <w:szCs w:val="10"/>
              </w:rPr>
            </w:pP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13.829.786,00</w:t>
            </w:r>
          </w:p>
        </w:tc>
        <w:tc>
          <w:tcPr>
            <w:tcW w:w="1560"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b/>
                <w:color w:val="000000"/>
                <w:sz w:val="10"/>
                <w:szCs w:val="10"/>
              </w:rPr>
            </w:pPr>
            <w:r w:rsidRPr="00B247D1">
              <w:rPr>
                <w:rFonts w:eastAsia="Arial Unicode MS"/>
                <w:b/>
                <w:color w:val="000000"/>
                <w:sz w:val="10"/>
                <w:szCs w:val="10"/>
              </w:rPr>
              <w:t>13.829.786,00</w:t>
            </w:r>
          </w:p>
        </w:tc>
        <w:tc>
          <w:tcPr>
            <w:tcW w:w="1560" w:type="dxa"/>
            <w:shd w:val="clear" w:color="auto" w:fill="auto"/>
          </w:tcPr>
          <w:p w:rsidR="00227504" w:rsidRPr="00B247D1" w:rsidRDefault="00F9213F" w:rsidP="007414BD">
            <w:pPr>
              <w:tabs>
                <w:tab w:val="left" w:pos="426"/>
              </w:tabs>
              <w:jc w:val="right"/>
              <w:rPr>
                <w:rFonts w:eastAsia="Arial Unicode MS"/>
                <w:color w:val="000000"/>
                <w:sz w:val="10"/>
                <w:szCs w:val="10"/>
              </w:rPr>
            </w:pPr>
            <w:r>
              <w:rPr>
                <w:rFonts w:eastAsia="Arial Unicode MS"/>
                <w:b/>
                <w:color w:val="000000"/>
                <w:sz w:val="10"/>
                <w:szCs w:val="10"/>
              </w:rPr>
              <w:t>100,0000000000%</w:t>
            </w:r>
          </w:p>
        </w:tc>
        <w:tc>
          <w:tcPr>
            <w:tcW w:w="1559" w:type="dxa"/>
          </w:tcPr>
          <w:p w:rsidR="00227504" w:rsidRPr="00B247D1" w:rsidRDefault="00F9213F" w:rsidP="00383989">
            <w:pPr>
              <w:tabs>
                <w:tab w:val="left" w:pos="426"/>
              </w:tabs>
              <w:jc w:val="right"/>
              <w:rPr>
                <w:rFonts w:eastAsia="Arial Unicode MS"/>
                <w:color w:val="000000"/>
                <w:sz w:val="10"/>
                <w:szCs w:val="10"/>
              </w:rPr>
            </w:pPr>
            <w:r>
              <w:rPr>
                <w:rFonts w:eastAsia="Arial Unicode MS"/>
                <w:b/>
                <w:noProof/>
                <w:color w:val="000000"/>
                <w:sz w:val="10"/>
                <w:szCs w:val="10"/>
              </w:rPr>
              <w:t>«totalEibAmount»</w:t>
            </w:r>
          </w:p>
        </w:tc>
      </w:tr>
      <w:tr w:rsidR="00B31B05" w:rsidTr="00CD448D">
        <w:trPr>
          <w:trHeight w:val="288"/>
        </w:trPr>
        <w:tc>
          <w:tcPr>
            <w:tcW w:w="709" w:type="dxa"/>
            <w:shd w:val="clear" w:color="auto" w:fill="auto"/>
          </w:tcPr>
          <w:p w:rsidR="00227504" w:rsidRPr="00B247D1" w:rsidRDefault="00F9213F" w:rsidP="00717F20">
            <w:pPr>
              <w:tabs>
                <w:tab w:val="left" w:pos="426"/>
              </w:tabs>
              <w:rPr>
                <w:rFonts w:eastAsia="Arial Unicode MS"/>
                <w:b/>
                <w:color w:val="000000"/>
                <w:sz w:val="10"/>
                <w:szCs w:val="10"/>
              </w:rPr>
            </w:pPr>
            <w:r w:rsidRPr="00B247D1">
              <w:rPr>
                <w:b/>
                <w:color w:val="000000"/>
                <w:sz w:val="10"/>
                <w:szCs w:val="10"/>
              </w:rPr>
              <w:t>Total general</w:t>
            </w:r>
          </w:p>
        </w:tc>
        <w:tc>
          <w:tcPr>
            <w:tcW w:w="709" w:type="dxa"/>
            <w:shd w:val="clear" w:color="auto" w:fill="auto"/>
          </w:tcPr>
          <w:p w:rsidR="00227504" w:rsidRPr="00B247D1" w:rsidRDefault="00F9213F" w:rsidP="00717F20">
            <w:pPr>
              <w:tabs>
                <w:tab w:val="left" w:pos="426"/>
              </w:tabs>
              <w:jc w:val="left"/>
              <w:rPr>
                <w:rFonts w:eastAsia="Arial Unicode MS"/>
                <w:color w:val="000000"/>
                <w:sz w:val="10"/>
                <w:szCs w:val="10"/>
              </w:rPr>
            </w:pPr>
          </w:p>
        </w:tc>
        <w:tc>
          <w:tcPr>
            <w:tcW w:w="1559" w:type="dxa"/>
            <w:shd w:val="clear" w:color="auto" w:fill="auto"/>
          </w:tcPr>
          <w:p w:rsidR="00227504" w:rsidRPr="00B247D1" w:rsidRDefault="00F9213F" w:rsidP="00717F20">
            <w:pPr>
              <w:tabs>
                <w:tab w:val="left" w:pos="426"/>
              </w:tabs>
              <w:jc w:val="left"/>
              <w:rPr>
                <w:rFonts w:eastAsia="Arial Unicode MS"/>
                <w:color w:val="000000"/>
                <w:sz w:val="10"/>
                <w:szCs w:val="10"/>
              </w:rPr>
            </w:pPr>
          </w:p>
        </w:tc>
        <w:tc>
          <w:tcPr>
            <w:tcW w:w="1228" w:type="dxa"/>
            <w:shd w:val="clear" w:color="auto" w:fill="auto"/>
          </w:tcPr>
          <w:p w:rsidR="00227504" w:rsidRPr="00B247D1" w:rsidRDefault="00F9213F" w:rsidP="00415533">
            <w:pPr>
              <w:tabs>
                <w:tab w:val="left" w:pos="426"/>
              </w:tabs>
              <w:jc w:val="center"/>
              <w:rPr>
                <w:rFonts w:eastAsia="Arial Unicode MS"/>
                <w:color w:val="000000"/>
                <w:sz w:val="10"/>
                <w:szCs w:val="10"/>
              </w:rPr>
            </w:pP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100.000.000,00</w:t>
            </w:r>
          </w:p>
        </w:tc>
        <w:tc>
          <w:tcPr>
            <w:tcW w:w="1560"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color w:val="000000"/>
                <w:sz w:val="10"/>
                <w:szCs w:val="10"/>
              </w:rPr>
            </w:pPr>
            <w:r w:rsidRPr="00B247D1">
              <w:rPr>
                <w:rFonts w:eastAsia="Arial Unicode MS"/>
                <w:b/>
                <w:color w:val="000000"/>
                <w:sz w:val="10"/>
                <w:szCs w:val="10"/>
              </w:rPr>
              <w:t>0,00</w:t>
            </w:r>
          </w:p>
        </w:tc>
        <w:tc>
          <w:tcPr>
            <w:tcW w:w="1559" w:type="dxa"/>
            <w:shd w:val="clear" w:color="auto" w:fill="auto"/>
          </w:tcPr>
          <w:p w:rsidR="00227504" w:rsidRPr="00B247D1" w:rsidRDefault="00F9213F" w:rsidP="00717F20">
            <w:pPr>
              <w:tabs>
                <w:tab w:val="left" w:pos="426"/>
              </w:tabs>
              <w:jc w:val="right"/>
              <w:rPr>
                <w:rFonts w:eastAsia="Arial Unicode MS"/>
                <w:b/>
                <w:color w:val="000000"/>
                <w:sz w:val="10"/>
                <w:szCs w:val="10"/>
              </w:rPr>
            </w:pPr>
            <w:r w:rsidRPr="00B247D1">
              <w:rPr>
                <w:rFonts w:eastAsia="Arial Unicode MS"/>
                <w:b/>
                <w:color w:val="000000"/>
                <w:sz w:val="10"/>
                <w:szCs w:val="10"/>
              </w:rPr>
              <w:t>100.000.000,00</w:t>
            </w:r>
          </w:p>
        </w:tc>
        <w:tc>
          <w:tcPr>
            <w:tcW w:w="1560" w:type="dxa"/>
            <w:shd w:val="clear" w:color="auto" w:fill="auto"/>
          </w:tcPr>
          <w:p w:rsidR="00227504" w:rsidRPr="00B247D1" w:rsidRDefault="00F9213F" w:rsidP="007414BD">
            <w:pPr>
              <w:tabs>
                <w:tab w:val="left" w:pos="426"/>
              </w:tabs>
              <w:jc w:val="right"/>
              <w:rPr>
                <w:rFonts w:eastAsia="Arial Unicode MS"/>
                <w:color w:val="000000"/>
                <w:sz w:val="10"/>
                <w:szCs w:val="10"/>
              </w:rPr>
            </w:pPr>
            <w:r>
              <w:rPr>
                <w:rFonts w:eastAsia="Arial Unicode MS"/>
                <w:b/>
                <w:color w:val="000000"/>
                <w:sz w:val="10"/>
                <w:szCs w:val="10"/>
              </w:rPr>
              <w:t>100,0000000000%</w:t>
            </w:r>
          </w:p>
        </w:tc>
        <w:tc>
          <w:tcPr>
            <w:tcW w:w="1559" w:type="dxa"/>
          </w:tcPr>
          <w:p w:rsidR="00227504" w:rsidRPr="00B247D1" w:rsidRDefault="00F9213F" w:rsidP="00383989">
            <w:pPr>
              <w:tabs>
                <w:tab w:val="left" w:pos="426"/>
              </w:tabs>
              <w:jc w:val="right"/>
              <w:rPr>
                <w:rFonts w:eastAsia="Arial Unicode MS"/>
                <w:color w:val="000000"/>
                <w:sz w:val="10"/>
                <w:szCs w:val="10"/>
              </w:rPr>
            </w:pPr>
            <w:r>
              <w:rPr>
                <w:rFonts w:eastAsia="Arial Unicode MS"/>
                <w:b/>
                <w:noProof/>
                <w:color w:val="000000"/>
                <w:sz w:val="10"/>
                <w:szCs w:val="10"/>
              </w:rPr>
              <w:t>«totalEibAmount»</w:t>
            </w:r>
          </w:p>
        </w:tc>
      </w:tr>
    </w:tbl>
    <w:p w:rsidR="00227504" w:rsidRDefault="00F9213F" w:rsidP="009A634A">
      <w:pPr>
        <w:tabs>
          <w:tab w:val="left" w:pos="426"/>
        </w:tabs>
        <w:rPr>
          <w:rFonts w:eastAsia="Arial Unicode MS"/>
          <w:b/>
        </w:rPr>
      </w:pPr>
      <w:r>
        <w:rPr>
          <w:sz w:val="20"/>
        </w:rPr>
        <w:t>(1) A se completa doar când axele prioritare sunt exprimate în costuri totale.</w:t>
      </w:r>
    </w:p>
    <w:p w:rsidR="0033492F" w:rsidRPr="001C2523" w:rsidRDefault="00F9213F" w:rsidP="00227504">
      <w:pPr>
        <w:spacing w:after="0"/>
        <w:rPr>
          <w:sz w:val="20"/>
        </w:rPr>
      </w:pPr>
      <w:r>
        <w:rPr>
          <w:sz w:val="20"/>
        </w:rPr>
        <w:t xml:space="preserve">(2) </w:t>
      </w:r>
      <w:r>
        <w:rPr>
          <w:sz w:val="20"/>
        </w:rPr>
        <w:t>În tabel, această rată poate fi rotunjită la numărul întreg cel mai apropiat. Rata exactă utilizată pentru rambursări este raportul (f).</w:t>
      </w:r>
    </w:p>
    <w:p w:rsidR="00227504" w:rsidRDefault="00F9213F" w:rsidP="000452DB">
      <w:pPr>
        <w:sectPr w:rsidR="00227504" w:rsidSect="00835F4D">
          <w:pgSz w:w="16838" w:h="11906" w:orient="landscape"/>
          <w:pgMar w:top="1584" w:right="1022" w:bottom="1699" w:left="1022" w:header="709" w:footer="709" w:gutter="0"/>
          <w:cols w:space="708"/>
          <w:docGrid w:linePitch="360"/>
        </w:sectPr>
      </w:pPr>
    </w:p>
    <w:p w:rsidR="00227504" w:rsidRDefault="00F9213F" w:rsidP="00227504">
      <w:pPr>
        <w:pStyle w:val="Heading1"/>
        <w:numPr>
          <w:ilvl w:val="0"/>
          <w:numId w:val="0"/>
        </w:numPr>
        <w:jc w:val="left"/>
      </w:pPr>
      <w:r>
        <w:lastRenderedPageBreak/>
        <w:t>7. AUTORITĂȚILE ȘI ORGANISMELE RESPONSABILE CU MANAGEMENTUL, CONTROLUL ȘI AUDITUL, PRECUM ȘI R</w:t>
      </w:r>
      <w:r>
        <w:t>OLUL PARTENERILOR RELEVANȚI</w:t>
      </w:r>
    </w:p>
    <w:p w:rsidR="00227504" w:rsidRPr="00DF0174" w:rsidRDefault="00F9213F" w:rsidP="009A634A">
      <w:pPr>
        <w:pStyle w:val="Text1"/>
        <w:ind w:left="0"/>
      </w:pPr>
    </w:p>
    <w:p w:rsidR="00227504" w:rsidRDefault="00F9213F" w:rsidP="00227504">
      <w:pPr>
        <w:pStyle w:val="Heading2"/>
        <w:numPr>
          <w:ilvl w:val="0"/>
          <w:numId w:val="0"/>
        </w:numPr>
        <w:jc w:val="left"/>
      </w:pPr>
      <w:r>
        <w:t>7.1 Autorități și organisme relevante</w:t>
      </w:r>
    </w:p>
    <w:p w:rsidR="00227504" w:rsidRPr="00DF0174" w:rsidRDefault="00F9213F" w:rsidP="009A634A">
      <w:pPr>
        <w:pStyle w:val="Text1"/>
        <w:ind w:left="0"/>
      </w:pPr>
    </w:p>
    <w:p w:rsidR="00227504" w:rsidRDefault="00F9213F" w:rsidP="00E90768">
      <w:pPr>
        <w:keepNext/>
        <w:suppressAutoHyphens/>
        <w:jc w:val="left"/>
        <w:rPr>
          <w:b/>
        </w:rPr>
      </w:pPr>
      <w:r>
        <w:rPr>
          <w:b/>
        </w:rPr>
        <w:t>Tabelul 23: Autorități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B31B05" w:rsidTr="00717F20">
        <w:trPr>
          <w:tblHeader/>
        </w:trPr>
        <w:tc>
          <w:tcPr>
            <w:tcW w:w="1543" w:type="pct"/>
            <w:shd w:val="clear" w:color="auto" w:fill="auto"/>
          </w:tcPr>
          <w:p w:rsidR="00227504" w:rsidRPr="00686742" w:rsidRDefault="00F9213F" w:rsidP="00717F20">
            <w:pPr>
              <w:suppressAutoHyphens/>
              <w:jc w:val="center"/>
              <w:rPr>
                <w:b/>
                <w:sz w:val="20"/>
              </w:rPr>
            </w:pPr>
            <w:r w:rsidRPr="00686742">
              <w:rPr>
                <w:b/>
                <w:sz w:val="20"/>
              </w:rPr>
              <w:t>Autoritate/organism</w:t>
            </w:r>
          </w:p>
        </w:tc>
        <w:tc>
          <w:tcPr>
            <w:tcW w:w="2110" w:type="pct"/>
            <w:shd w:val="clear" w:color="auto" w:fill="auto"/>
          </w:tcPr>
          <w:p w:rsidR="00227504" w:rsidRPr="00686742" w:rsidRDefault="00F9213F" w:rsidP="00717F20">
            <w:pPr>
              <w:suppressAutoHyphens/>
              <w:jc w:val="center"/>
              <w:rPr>
                <w:b/>
                <w:sz w:val="20"/>
                <w:lang w:val="pl-PL"/>
              </w:rPr>
            </w:pPr>
            <w:r w:rsidRPr="00686742">
              <w:rPr>
                <w:b/>
                <w:sz w:val="20"/>
                <w:lang w:val="pl-PL"/>
              </w:rPr>
              <w:t>Denumirea autorității/organismului și a direcției sau unității</w:t>
            </w:r>
          </w:p>
        </w:tc>
        <w:tc>
          <w:tcPr>
            <w:tcW w:w="1347" w:type="pct"/>
            <w:shd w:val="clear" w:color="auto" w:fill="auto"/>
          </w:tcPr>
          <w:p w:rsidR="00227504" w:rsidRPr="00686742" w:rsidRDefault="00F9213F" w:rsidP="00717F20">
            <w:pPr>
              <w:suppressAutoHyphens/>
              <w:jc w:val="center"/>
              <w:rPr>
                <w:b/>
                <w:sz w:val="20"/>
                <w:lang w:val="pl-PL"/>
              </w:rPr>
            </w:pPr>
            <w:r w:rsidRPr="00686742">
              <w:rPr>
                <w:b/>
                <w:sz w:val="20"/>
                <w:lang w:val="pl-PL"/>
              </w:rPr>
              <w:t>Directorul autorității/organismului (funcția sau postul)</w:t>
            </w:r>
          </w:p>
        </w:tc>
      </w:tr>
      <w:tr w:rsidR="00B31B05" w:rsidTr="00717F20">
        <w:tc>
          <w:tcPr>
            <w:tcW w:w="1543" w:type="pct"/>
            <w:shd w:val="clear" w:color="auto" w:fill="auto"/>
          </w:tcPr>
          <w:p w:rsidR="00227504" w:rsidRPr="00686742" w:rsidRDefault="00F9213F" w:rsidP="00717F20">
            <w:pPr>
              <w:suppressAutoHyphens/>
              <w:rPr>
                <w:sz w:val="20"/>
              </w:rPr>
            </w:pPr>
            <w:r w:rsidRPr="00686742">
              <w:rPr>
                <w:sz w:val="20"/>
              </w:rPr>
              <w:t>Autoritatea de gestionare</w:t>
            </w:r>
          </w:p>
        </w:tc>
        <w:tc>
          <w:tcPr>
            <w:tcW w:w="2110" w:type="pct"/>
            <w:shd w:val="clear" w:color="auto" w:fill="auto"/>
          </w:tcPr>
          <w:p w:rsidR="00227504" w:rsidRPr="00686742" w:rsidRDefault="00F9213F" w:rsidP="00717F20">
            <w:pPr>
              <w:suppressAutoHyphens/>
              <w:rPr>
                <w:sz w:val="20"/>
              </w:rPr>
            </w:pPr>
            <w:r w:rsidRPr="00686742">
              <w:rPr>
                <w:sz w:val="20"/>
              </w:rPr>
              <w:t>Ministerul Dezvoltării Regionale și Administrației Publice</w:t>
            </w:r>
          </w:p>
        </w:tc>
        <w:tc>
          <w:tcPr>
            <w:tcW w:w="1347" w:type="pct"/>
            <w:shd w:val="clear" w:color="auto" w:fill="auto"/>
          </w:tcPr>
          <w:p w:rsidR="00227504" w:rsidRPr="00686742" w:rsidRDefault="00F9213F" w:rsidP="00717F20">
            <w:pPr>
              <w:suppressAutoHyphens/>
              <w:rPr>
                <w:sz w:val="20"/>
              </w:rPr>
            </w:pPr>
            <w:r w:rsidRPr="00686742">
              <w:rPr>
                <w:sz w:val="20"/>
              </w:rPr>
              <w:t>Gabriel FRIPTU</w:t>
            </w:r>
          </w:p>
        </w:tc>
      </w:tr>
      <w:tr w:rsidR="00B31B05" w:rsidTr="00717F20">
        <w:tc>
          <w:tcPr>
            <w:tcW w:w="1543" w:type="pct"/>
            <w:shd w:val="clear" w:color="auto" w:fill="auto"/>
          </w:tcPr>
          <w:p w:rsidR="00227504" w:rsidRPr="00686742" w:rsidRDefault="00F9213F" w:rsidP="00717F20">
            <w:pPr>
              <w:suppressAutoHyphens/>
              <w:rPr>
                <w:sz w:val="20"/>
              </w:rPr>
            </w:pPr>
            <w:r w:rsidRPr="00686742">
              <w:rPr>
                <w:sz w:val="20"/>
              </w:rPr>
              <w:t>Autoritatea de certificare</w:t>
            </w:r>
          </w:p>
        </w:tc>
        <w:tc>
          <w:tcPr>
            <w:tcW w:w="2110" w:type="pct"/>
            <w:shd w:val="clear" w:color="auto" w:fill="auto"/>
          </w:tcPr>
          <w:p w:rsidR="00227504" w:rsidRPr="00686742" w:rsidRDefault="00F9213F" w:rsidP="00717F20">
            <w:pPr>
              <w:suppressAutoHyphens/>
              <w:rPr>
                <w:sz w:val="20"/>
              </w:rPr>
            </w:pPr>
            <w:r w:rsidRPr="00686742">
              <w:rPr>
                <w:sz w:val="20"/>
              </w:rPr>
              <w:t>Ministerul Finantelor Publice - Autoritatea de Certificare si Plata</w:t>
            </w:r>
          </w:p>
        </w:tc>
        <w:tc>
          <w:tcPr>
            <w:tcW w:w="1347" w:type="pct"/>
            <w:shd w:val="clear" w:color="auto" w:fill="auto"/>
          </w:tcPr>
          <w:p w:rsidR="00227504" w:rsidRPr="00686742" w:rsidRDefault="00F9213F" w:rsidP="00717F20">
            <w:pPr>
              <w:suppressAutoHyphens/>
              <w:rPr>
                <w:sz w:val="20"/>
              </w:rPr>
            </w:pPr>
            <w:r w:rsidRPr="00686742">
              <w:rPr>
                <w:sz w:val="20"/>
              </w:rPr>
              <w:t>Lucica Tarara</w:t>
            </w:r>
          </w:p>
        </w:tc>
      </w:tr>
      <w:tr w:rsidR="00B31B05" w:rsidTr="00717F20">
        <w:tc>
          <w:tcPr>
            <w:tcW w:w="1543" w:type="pct"/>
            <w:shd w:val="clear" w:color="auto" w:fill="auto"/>
          </w:tcPr>
          <w:p w:rsidR="00227504" w:rsidRPr="00686742" w:rsidRDefault="00F9213F" w:rsidP="00717F20">
            <w:pPr>
              <w:suppressAutoHyphens/>
              <w:rPr>
                <w:sz w:val="20"/>
              </w:rPr>
            </w:pPr>
            <w:r w:rsidRPr="00686742">
              <w:rPr>
                <w:sz w:val="20"/>
              </w:rPr>
              <w:t>Autoritatea de audit</w:t>
            </w:r>
          </w:p>
        </w:tc>
        <w:tc>
          <w:tcPr>
            <w:tcW w:w="2110" w:type="pct"/>
            <w:shd w:val="clear" w:color="auto" w:fill="auto"/>
          </w:tcPr>
          <w:p w:rsidR="00227504" w:rsidRPr="00686742" w:rsidRDefault="00F9213F" w:rsidP="00717F20">
            <w:pPr>
              <w:suppressAutoHyphens/>
              <w:rPr>
                <w:sz w:val="20"/>
              </w:rPr>
            </w:pPr>
            <w:r w:rsidRPr="00686742">
              <w:rPr>
                <w:sz w:val="20"/>
              </w:rPr>
              <w:t xml:space="preserve">Autoritatea de Audit </w:t>
            </w:r>
            <w:r w:rsidRPr="00686742">
              <w:rPr>
                <w:sz w:val="20"/>
              </w:rPr>
              <w:t>(Organism independent pe langa Curtea de Conturi a Romaniei)</w:t>
            </w:r>
          </w:p>
        </w:tc>
        <w:tc>
          <w:tcPr>
            <w:tcW w:w="1347" w:type="pct"/>
            <w:shd w:val="clear" w:color="auto" w:fill="auto"/>
          </w:tcPr>
          <w:p w:rsidR="00227504" w:rsidRPr="00686742" w:rsidRDefault="00F9213F" w:rsidP="00717F20">
            <w:pPr>
              <w:suppressAutoHyphens/>
              <w:rPr>
                <w:sz w:val="20"/>
              </w:rPr>
            </w:pPr>
            <w:r w:rsidRPr="00686742">
              <w:rPr>
                <w:sz w:val="20"/>
              </w:rPr>
              <w:t>Aron Ion Popa</w:t>
            </w:r>
          </w:p>
        </w:tc>
      </w:tr>
      <w:tr w:rsidR="00B31B05" w:rsidTr="00717F20">
        <w:tc>
          <w:tcPr>
            <w:tcW w:w="1543" w:type="pct"/>
            <w:shd w:val="clear" w:color="auto" w:fill="auto"/>
          </w:tcPr>
          <w:p w:rsidR="00227504" w:rsidRPr="00686742" w:rsidRDefault="00F9213F" w:rsidP="00717F20">
            <w:pPr>
              <w:suppressAutoHyphens/>
              <w:rPr>
                <w:sz w:val="20"/>
              </w:rPr>
            </w:pPr>
            <w:r w:rsidRPr="00686742">
              <w:rPr>
                <w:sz w:val="20"/>
              </w:rPr>
              <w:t>Organism către care Comisia va efectua plăți</w:t>
            </w:r>
          </w:p>
        </w:tc>
        <w:tc>
          <w:tcPr>
            <w:tcW w:w="2110" w:type="pct"/>
            <w:shd w:val="clear" w:color="auto" w:fill="auto"/>
          </w:tcPr>
          <w:p w:rsidR="00227504" w:rsidRPr="00686742" w:rsidRDefault="00F9213F" w:rsidP="00717F20">
            <w:pPr>
              <w:suppressAutoHyphens/>
              <w:rPr>
                <w:sz w:val="20"/>
              </w:rPr>
            </w:pPr>
            <w:r w:rsidRPr="00686742">
              <w:rPr>
                <w:sz w:val="20"/>
              </w:rPr>
              <w:t>Ministerul Finantelor Publice - Autoritatea de Certificare si Plata</w:t>
            </w:r>
          </w:p>
        </w:tc>
        <w:tc>
          <w:tcPr>
            <w:tcW w:w="1347" w:type="pct"/>
            <w:shd w:val="clear" w:color="auto" w:fill="auto"/>
          </w:tcPr>
          <w:p w:rsidR="00227504" w:rsidRPr="00686742" w:rsidRDefault="00F9213F" w:rsidP="00717F20">
            <w:pPr>
              <w:suppressAutoHyphens/>
              <w:rPr>
                <w:sz w:val="20"/>
              </w:rPr>
            </w:pPr>
            <w:r w:rsidRPr="00686742">
              <w:rPr>
                <w:sz w:val="20"/>
              </w:rPr>
              <w:t>Lucica Tarara</w:t>
            </w:r>
          </w:p>
        </w:tc>
      </w:tr>
    </w:tbl>
    <w:p w:rsidR="00227504" w:rsidRDefault="00F9213F" w:rsidP="00227504"/>
    <w:p w:rsidR="00227504" w:rsidRDefault="00F9213F" w:rsidP="00227504">
      <w:pPr>
        <w:pStyle w:val="Heading2"/>
        <w:numPr>
          <w:ilvl w:val="0"/>
          <w:numId w:val="0"/>
        </w:numPr>
        <w:jc w:val="left"/>
        <w:rPr>
          <w:noProof/>
        </w:rPr>
      </w:pPr>
      <w:r>
        <w:rPr>
          <w:noProof/>
        </w:rPr>
        <w:t>7.2 Implicarea partenerilor relevanți</w:t>
      </w:r>
    </w:p>
    <w:p w:rsidR="00227504" w:rsidRDefault="00F9213F" w:rsidP="00974E59">
      <w:pPr>
        <w:pStyle w:val="NormalLeft"/>
        <w:rPr>
          <w:b w:val="0"/>
        </w:rPr>
      </w:pPr>
      <w:r w:rsidRPr="00CF437B">
        <w:rPr>
          <w:b w:val="0"/>
        </w:rPr>
        <w:t xml:space="preserve">7.2.1 </w:t>
      </w:r>
      <w:r w:rsidRPr="00CF437B">
        <w:rPr>
          <w:b w:val="0"/>
        </w:rPr>
        <w:t>Acțiunile întreprinse cu scopul de a implica partenerii relevanți în pregătirea programului operațional și rolul acestora în implementarea, monitorizarea și evaluarea programului</w:t>
      </w:r>
    </w:p>
    <w:p w:rsidR="00B31B05" w:rsidRDefault="00F9213F">
      <w:pPr>
        <w:spacing w:before="0" w:after="240"/>
        <w:jc w:val="left"/>
      </w:pPr>
      <w:r>
        <w:t>Elaborarea POIIMM a fost coordonată de Ministerul Dezvoltării Regionale și Ad</w:t>
      </w:r>
      <w:r>
        <w:t>ministrației Publice, cu respectarea și aplicarea principiului parteneriatului, principiu-cheie al gestionarii fondurilor Uniunii Europene, care a presupus o cooperare strânsă cu o serie actori interesaţi.</w:t>
      </w:r>
    </w:p>
    <w:p w:rsidR="00B31B05" w:rsidRDefault="00F9213F">
      <w:pPr>
        <w:spacing w:before="240" w:after="240"/>
        <w:jc w:val="left"/>
      </w:pPr>
      <w:r>
        <w:t>Consultări cu organizațiile interesate au fost org</w:t>
      </w:r>
      <w:r>
        <w:t>anizate în perioada 2014-2015 în cadrul procesului de realizare al ”Evaluării ex-ante pentru instrumente financiare pentru IMM în perioada 2014-2020”. Aceste consultări sunt relevante în contextul POIIMM din mai multe motive:</w:t>
      </w:r>
    </w:p>
    <w:p w:rsidR="00B31B05" w:rsidRDefault="00F9213F">
      <w:pPr>
        <w:numPr>
          <w:ilvl w:val="0"/>
          <w:numId w:val="37"/>
        </w:numPr>
        <w:spacing w:before="240" w:after="0"/>
        <w:ind w:hanging="210"/>
        <w:jc w:val="left"/>
      </w:pPr>
      <w:r>
        <w:t>Evaluarea Ex-ante a preluat me</w:t>
      </w:r>
      <w:r>
        <w:t>todologia de calcul al deficiențelor pe piața de creditare din Evaluarea Ex-ante pentru Inițiativa pentru IMM realizată la nivel european de către CE și Grupul BEI.</w:t>
      </w:r>
    </w:p>
    <w:p w:rsidR="00B31B05" w:rsidRDefault="00F9213F">
      <w:pPr>
        <w:numPr>
          <w:ilvl w:val="0"/>
          <w:numId w:val="37"/>
        </w:numPr>
        <w:spacing w:before="0" w:after="240"/>
        <w:ind w:hanging="210"/>
        <w:jc w:val="left"/>
      </w:pPr>
      <w:r>
        <w:lastRenderedPageBreak/>
        <w:t>Consultările au relevat cererea foarte mare pentru instrumente de garanție de portofoliu, p</w:t>
      </w:r>
      <w:r>
        <w:t>entru care s-a prevăzut inițial o finanțare FEDR de 100 milioane Euro în cadrul POR, sumă care a fost realocată tot pentru instrumentul de garanție de portofoliu neplafonată în cadrul prezentului POIIMM.    </w:t>
      </w:r>
    </w:p>
    <w:p w:rsidR="00B31B05" w:rsidRDefault="00F9213F">
      <w:pPr>
        <w:spacing w:before="240" w:after="240"/>
        <w:jc w:val="left"/>
      </w:pPr>
      <w:r>
        <w:t>La consultări au participat reprezentanți ai aut</w:t>
      </w:r>
      <w:r>
        <w:t>orităților relevante, ai instituțiilor financiare și ai întreprinderilor și antreprenorilor, precum și alte organizații interesate – de exemplu, firme de consultanță. Pot fi menţionate următoarele întâlniri consultative:</w:t>
      </w:r>
    </w:p>
    <w:p w:rsidR="00B31B05" w:rsidRDefault="00F9213F">
      <w:pPr>
        <w:numPr>
          <w:ilvl w:val="0"/>
          <w:numId w:val="38"/>
        </w:numPr>
        <w:spacing w:before="240" w:after="0"/>
        <w:ind w:hanging="210"/>
        <w:jc w:val="left"/>
      </w:pPr>
      <w:r>
        <w:t xml:space="preserve">2013 – intâlnire de tip focus grup </w:t>
      </w:r>
      <w:r>
        <w:t>cu reprezentanti ai mediului de afaceri, Consiliului Naţional al Intreprinderilor Private Mici şi Mijlocii, Asociaţiei Oamenilor de Afaceri din Romania, antreprenori romani de top. Conform concluziilor prezentate în studiul din 2013, reprezentanţii mediulu</w:t>
      </w:r>
      <w:r>
        <w:t>i de afaceri au fost de acord ca accesul la finantare este îngreunat, între altele, de costurile excesive şi cerinţele mari de garanţii. </w:t>
      </w:r>
    </w:p>
    <w:p w:rsidR="00B31B05" w:rsidRDefault="00F9213F">
      <w:pPr>
        <w:numPr>
          <w:ilvl w:val="0"/>
          <w:numId w:val="38"/>
        </w:numPr>
        <w:spacing w:before="0" w:after="0"/>
        <w:ind w:hanging="210"/>
        <w:jc w:val="left"/>
      </w:pPr>
      <w:r>
        <w:t xml:space="preserve">10 aprilie 2014 - FEI a organizat un atelier de lucru cu privire la instrumentele financiare în cadrul politicii de </w:t>
      </w:r>
      <w:r>
        <w:t>coeziune la care au participat atât cererea cât și oferta părților interesate. În acest context a fost prezentată experiența FEI, inclusiv lecțiile învățate din perioada anterioară 2007 -2013, atât în România cât și în Bulgaria.</w:t>
      </w:r>
    </w:p>
    <w:p w:rsidR="00B31B05" w:rsidRDefault="00F9213F">
      <w:pPr>
        <w:numPr>
          <w:ilvl w:val="0"/>
          <w:numId w:val="38"/>
        </w:numPr>
        <w:spacing w:before="0" w:after="0"/>
        <w:ind w:hanging="210"/>
        <w:jc w:val="left"/>
      </w:pPr>
      <w:r>
        <w:t>06 noiembrie 2014 - Ministe</w:t>
      </w:r>
      <w:r>
        <w:t>rul Dezvoltării Regionale și Administrației Publice a organizat un grup de lucru în care au fost analizate instrumentele financiare propuse pentru a fi implementate în perioada 2014-2020, cu băncile și instituțiile financiare nebancare. În timpul discuțiil</w:t>
      </w:r>
      <w:r>
        <w:t>or s-a evidențiat că principalul criteriu ce trebuie analizat este profilul de risc al beneficiarului. În opinia instituțiilor financiare ar trebui să se abordeze aceşti beneficiari cu acces dificil la finanțare din prisma gradului de risc și lipsa de gara</w:t>
      </w:r>
      <w:r>
        <w:t>nții colaterale.</w:t>
      </w:r>
    </w:p>
    <w:p w:rsidR="00B31B05" w:rsidRDefault="00F9213F">
      <w:pPr>
        <w:numPr>
          <w:ilvl w:val="0"/>
          <w:numId w:val="38"/>
        </w:numPr>
        <w:spacing w:before="0" w:after="0"/>
        <w:ind w:hanging="210"/>
        <w:jc w:val="left"/>
      </w:pPr>
      <w:r>
        <w:t>2014 – 2015 – reuniuni cu reprezentanții Ministerului Economiei  - Departamentul pentru IMM-uri, Consiliului Naţional al Intreprinderilor Private Mici şi Mijlocii, Patronatul Tinerilor Întreprinzători din România, Fondul Național de Garant</w:t>
      </w:r>
      <w:r>
        <w:t>are a Creditelor pentru Întreprinderi Mici și Mijlocii, Asociația Română a Băncilor  privind modalitățile de utilizare a instrumentelor financiare dedicate IMM-urilor. Principalele concluzii ale reuniunilor au evidențiat necesitate diversificării instrumen</w:t>
      </w:r>
      <w:r>
        <w:t>telor de finanțare a IMM-urilor în vederea creșterii accesului IMM-urilor la finanțare prin credite și reducerea costurilor de finanțare pentru IMM-uri.</w:t>
      </w:r>
    </w:p>
    <w:p w:rsidR="00B31B05" w:rsidRDefault="00F9213F">
      <w:pPr>
        <w:numPr>
          <w:ilvl w:val="0"/>
          <w:numId w:val="38"/>
        </w:numPr>
        <w:spacing w:before="0" w:after="0"/>
        <w:ind w:hanging="210"/>
        <w:jc w:val="left"/>
      </w:pPr>
      <w:r>
        <w:t xml:space="preserve">28 aprilie 2015 Asociația Română a Băncilor a organizat o întâlnire cu reprezentanţii Autorităţilor de </w:t>
      </w:r>
      <w:r>
        <w:t>Management care vor utiliza instrumentele financiare și reprezentanții băncilor care fac parte din această asociație. În cadrul întrevederii au fost prezentate instrumentele financiare propuse și opinia băncilor pe aceste instrumente. În timpul discuţiilor</w:t>
      </w:r>
      <w:r>
        <w:t xml:space="preserve"> s-a menţionat dorința băncilor ca România să participe la inițiativa IMM-urilor.</w:t>
      </w:r>
    </w:p>
    <w:p w:rsidR="00B31B05" w:rsidRDefault="00F9213F">
      <w:pPr>
        <w:numPr>
          <w:ilvl w:val="0"/>
          <w:numId w:val="38"/>
        </w:numPr>
        <w:spacing w:before="0" w:after="240"/>
        <w:ind w:hanging="210"/>
        <w:jc w:val="left"/>
      </w:pPr>
      <w:r>
        <w:t>Decembrie 2015 - Ministerul Dezvoltării Regionale și Administrației Publice şi Ministerul Agriculturii şi Dezvoltării Rurale au avut întâlniri de lucru pentru a stabili demar</w:t>
      </w:r>
      <w:r>
        <w:t xml:space="preserve">cările şi complementarităţile privind folosirea garanţiei neplafonate </w:t>
      </w:r>
      <w:r>
        <w:lastRenderedPageBreak/>
        <w:t>ca instrument financiar în cele două programe pe care le gestionează (POIIMM şi PNDR).</w:t>
      </w:r>
    </w:p>
    <w:p w:rsidR="00B31B05" w:rsidRDefault="00F9213F">
      <w:pPr>
        <w:spacing w:before="240" w:after="240"/>
        <w:jc w:val="left"/>
      </w:pPr>
      <w:r>
        <w:t>Complementar reuniunilor organizate cu diverși actori interesați de implementarea acestui tip de in</w:t>
      </w:r>
      <w:r>
        <w:t>strument, incă din prima jumătate a anului 2015, au avut loc întâlniri bilaterale între reprezentanți ai Guvernului României și ai Grupului BEI, în cursul cărora s-au detaliat avantajele statelor membre pentru participarea la POIIMM. De asemenea, în aprili</w:t>
      </w:r>
      <w:r>
        <w:t>e 2015, CE a organizat la Bruxelles un seminar pentru statele membre, la care au participat reprezentanți ai Ministerului Fondurilor Europene și ai Ministerului Dezvoltării Regionale şi Administraţiei Publice. În cursul acestui seminar, s-au prezentat atât</w:t>
      </w:r>
      <w:r>
        <w:t xml:space="preserve"> caracteristicile POIIMM, cât și exemplele pozitive din țările care deja se pregăteau să înceapă implementarea - Spania și Malta.</w:t>
      </w:r>
    </w:p>
    <w:p w:rsidR="00B31B05" w:rsidRDefault="00F9213F">
      <w:pPr>
        <w:spacing w:before="240" w:after="240"/>
        <w:jc w:val="left"/>
      </w:pPr>
      <w:r>
        <w:t>Urmare a întâlnirilor parteneriale și a discuțiilor între Guvern, CE și Grupul BEI, în luna iulie 2015 Guvernul a adoptat un M</w:t>
      </w:r>
      <w:r>
        <w:t>emorandum prin care se aprobă participarea României la POIIMM, pentru instrumentul de garanție de portofoliu neplafonată.</w:t>
      </w:r>
    </w:p>
    <w:p w:rsidR="00B31B05" w:rsidRDefault="00F9213F">
      <w:pPr>
        <w:spacing w:before="240" w:after="240"/>
        <w:jc w:val="left"/>
      </w:pPr>
      <w:r>
        <w:t>Între lunile august și septembrie 2015, Grupul BEI a consultat din nou piața bancară din România cu privire la oportunitatea POIIMM, c</w:t>
      </w:r>
      <w:r>
        <w:t>ât și la unele criterii de implementare. Testarea a fost realizată la cererea CE şi a AM şi a demarat cu transmiterea prezentării instrumentului și a unui chestionar, atât către Asociația Bancară Română, cât și individual unui număr de 8 bănci care împreun</w:t>
      </w:r>
      <w:r>
        <w:t>ă reprezintă jumătate din piața bancară româneasca (active totale). Băncile respondente au transmis feedback scris cu privire la instrumentul propus, iar în zilele de 14-16 septembrie 2015 au avut loc la București întâlniri între Grupul BEI și aceste bănci</w:t>
      </w:r>
      <w:r>
        <w:t>.</w:t>
      </w:r>
    </w:p>
    <w:p w:rsidR="00B31B05" w:rsidRDefault="00F9213F">
      <w:pPr>
        <w:spacing w:before="240" w:after="240"/>
        <w:jc w:val="left"/>
      </w:pPr>
      <w:r>
        <w:t>Rezultatele testării au fost prezentate autorităților romane și CE într-o reuniune organizată pe 1 octombrie 2015 și sunt, în principal, următoarele:</w:t>
      </w:r>
    </w:p>
    <w:p w:rsidR="00B31B05" w:rsidRDefault="00F9213F">
      <w:pPr>
        <w:numPr>
          <w:ilvl w:val="0"/>
          <w:numId w:val="39"/>
        </w:numPr>
        <w:spacing w:before="240" w:after="0"/>
        <w:ind w:hanging="210"/>
        <w:jc w:val="left"/>
      </w:pPr>
      <w:r>
        <w:t>Majoritatea băncilor sunt interesate de instrumentul IIMM</w:t>
      </w:r>
    </w:p>
    <w:p w:rsidR="00B31B05" w:rsidRDefault="00F9213F">
      <w:pPr>
        <w:numPr>
          <w:ilvl w:val="0"/>
          <w:numId w:val="39"/>
        </w:numPr>
        <w:spacing w:before="0" w:after="0"/>
        <w:ind w:hanging="210"/>
        <w:jc w:val="left"/>
      </w:pPr>
      <w:r>
        <w:t xml:space="preserve">Cele mai interesante caracteristici ale </w:t>
      </w:r>
      <w:r>
        <w:t>instrumentului au fost considerate a fi: eliberarea cerinței de capital, acoperirea riscului creditelor IMM, comisionul de garantare aplicat, tratamentul privind ajutoarele de stat, rata de garantare (până la 80%). </w:t>
      </w:r>
    </w:p>
    <w:p w:rsidR="00B31B05" w:rsidRDefault="00F9213F">
      <w:pPr>
        <w:numPr>
          <w:ilvl w:val="0"/>
          <w:numId w:val="39"/>
        </w:numPr>
        <w:spacing w:before="0" w:after="240"/>
        <w:ind w:hanging="210"/>
        <w:jc w:val="left"/>
      </w:pPr>
      <w:r>
        <w:t>Cererea potențială totală pentru instrum</w:t>
      </w:r>
      <w:r>
        <w:t>ent considerând o perioadă de implementare de 2 ani, este de aproximativ 670 milioane Euro, cifră condiționată de aplicarea unui cadru de eligibilitate generalist.  </w:t>
      </w:r>
    </w:p>
    <w:p w:rsidR="00B31B05" w:rsidRDefault="00F9213F">
      <w:pPr>
        <w:spacing w:before="240" w:after="240"/>
        <w:jc w:val="left"/>
      </w:pPr>
      <w:r>
        <w:t>In ceea ce privește implementarea POIIMM se vor avea în vedere următoarele etape:</w:t>
      </w:r>
    </w:p>
    <w:p w:rsidR="00B31B05" w:rsidRDefault="00F9213F">
      <w:pPr>
        <w:numPr>
          <w:ilvl w:val="0"/>
          <w:numId w:val="40"/>
        </w:numPr>
        <w:spacing w:before="240" w:after="0"/>
        <w:ind w:hanging="210"/>
        <w:jc w:val="left"/>
      </w:pPr>
      <w:r>
        <w:t>Semnarea</w:t>
      </w:r>
      <w:r>
        <w:t xml:space="preserve"> acordului de finanțare între Guvern și Grupul BEI</w:t>
      </w:r>
    </w:p>
    <w:p w:rsidR="00B31B05" w:rsidRDefault="00F9213F">
      <w:pPr>
        <w:numPr>
          <w:ilvl w:val="0"/>
          <w:numId w:val="40"/>
        </w:numPr>
        <w:spacing w:before="0" w:after="0"/>
        <w:ind w:hanging="210"/>
        <w:jc w:val="left"/>
      </w:pPr>
      <w:r>
        <w:t xml:space="preserve">Numirea de către Guvern a unui Consiliu al Investitorilor, cu reprezentarea AM POIIMM și a FEI. Acesta se va reuni, în principiu, bianual și va avea următoarele îndatoriri: </w:t>
      </w:r>
    </w:p>
    <w:p w:rsidR="00B31B05" w:rsidRDefault="00F9213F">
      <w:pPr>
        <w:numPr>
          <w:ilvl w:val="1"/>
          <w:numId w:val="40"/>
        </w:numPr>
        <w:spacing w:before="240" w:after="240"/>
        <w:ind w:hanging="244"/>
        <w:jc w:val="left"/>
      </w:pPr>
      <w:r>
        <w:lastRenderedPageBreak/>
        <w:t>Aprobarea termenilor de referin</w:t>
      </w:r>
      <w:r>
        <w:t>ță pentru apelul de selectare a intermediarilor financiari</w:t>
      </w:r>
    </w:p>
    <w:p w:rsidR="00B31B05" w:rsidRDefault="00F9213F">
      <w:pPr>
        <w:numPr>
          <w:ilvl w:val="1"/>
          <w:numId w:val="40"/>
        </w:numPr>
        <w:spacing w:before="240" w:after="240"/>
        <w:ind w:hanging="244"/>
        <w:jc w:val="left"/>
      </w:pPr>
      <w:r>
        <w:t>Monitorizarea implementării IIMM</w:t>
      </w:r>
    </w:p>
    <w:p w:rsidR="00B31B05" w:rsidRDefault="00F9213F">
      <w:pPr>
        <w:numPr>
          <w:ilvl w:val="1"/>
          <w:numId w:val="40"/>
        </w:numPr>
        <w:spacing w:before="240" w:after="240"/>
        <w:ind w:hanging="244"/>
        <w:jc w:val="left"/>
      </w:pPr>
      <w:r>
        <w:t>Emiterea de opinii strategice cu privire la IIMM</w:t>
      </w:r>
    </w:p>
    <w:p w:rsidR="00B31B05" w:rsidRDefault="00F9213F">
      <w:pPr>
        <w:numPr>
          <w:ilvl w:val="1"/>
          <w:numId w:val="40"/>
        </w:numPr>
        <w:spacing w:before="240" w:after="240"/>
        <w:ind w:hanging="244"/>
        <w:jc w:val="left"/>
      </w:pPr>
      <w:r>
        <w:t>Revizuirea rapoartelor anuale de implementare</w:t>
      </w:r>
    </w:p>
    <w:p w:rsidR="00B31B05" w:rsidRDefault="00F9213F">
      <w:pPr>
        <w:numPr>
          <w:ilvl w:val="1"/>
          <w:numId w:val="40"/>
        </w:numPr>
        <w:spacing w:before="240" w:after="240"/>
        <w:ind w:hanging="244"/>
        <w:jc w:val="left"/>
      </w:pPr>
      <w:r>
        <w:t>Revizuirea propunerilor de amendare a acordului de finanțare etc.</w:t>
      </w:r>
    </w:p>
    <w:p w:rsidR="00B31B05" w:rsidRDefault="00F9213F">
      <w:pPr>
        <w:numPr>
          <w:ilvl w:val="0"/>
          <w:numId w:val="41"/>
        </w:numPr>
        <w:spacing w:before="240" w:after="0"/>
        <w:ind w:hanging="210"/>
        <w:jc w:val="left"/>
      </w:pPr>
      <w:r>
        <w:t>Lan</w:t>
      </w:r>
      <w:r>
        <w:t>sarea apelului deschis pentru selectarea intermediarilor financiari</w:t>
      </w:r>
    </w:p>
    <w:p w:rsidR="00B31B05" w:rsidRDefault="00F9213F">
      <w:pPr>
        <w:numPr>
          <w:ilvl w:val="0"/>
          <w:numId w:val="41"/>
        </w:numPr>
        <w:spacing w:before="0" w:after="0"/>
        <w:ind w:hanging="210"/>
        <w:jc w:val="left"/>
      </w:pPr>
      <w:r>
        <w:t>Evaluarea detaliată a ofertelor primite, ”due diligence” la intermediarii financiari</w:t>
      </w:r>
    </w:p>
    <w:p w:rsidR="00B31B05" w:rsidRDefault="00F9213F">
      <w:pPr>
        <w:numPr>
          <w:ilvl w:val="0"/>
          <w:numId w:val="41"/>
        </w:numPr>
        <w:spacing w:before="0" w:after="0"/>
        <w:ind w:hanging="210"/>
        <w:jc w:val="left"/>
      </w:pPr>
      <w:r>
        <w:t>Semnarea acordurilor operaționale între Grupul BEI și intermediarii financiari selectați</w:t>
      </w:r>
    </w:p>
    <w:p w:rsidR="00B31B05" w:rsidRDefault="00F9213F">
      <w:pPr>
        <w:numPr>
          <w:ilvl w:val="0"/>
          <w:numId w:val="41"/>
        </w:numPr>
        <w:spacing w:before="0" w:after="0"/>
        <w:ind w:hanging="210"/>
        <w:jc w:val="left"/>
      </w:pPr>
      <w:r>
        <w:t xml:space="preserve">Acordarea de </w:t>
      </w:r>
      <w:r>
        <w:t>credite pentru IMM de către intermediarii selectați.</w:t>
      </w:r>
    </w:p>
    <w:p w:rsidR="00B31B05" w:rsidRDefault="00F9213F">
      <w:pPr>
        <w:numPr>
          <w:ilvl w:val="0"/>
          <w:numId w:val="41"/>
        </w:numPr>
        <w:spacing w:before="0" w:after="240"/>
        <w:ind w:hanging="210"/>
        <w:jc w:val="left"/>
      </w:pPr>
      <w:r>
        <w:t>Monitorizarea și raportarea de către FEI către AM POIIMM a implementării instrumentului, inclusiv a distribuirii regionale a creditelor.</w:t>
      </w:r>
    </w:p>
    <w:p w:rsidR="008E0F20" w:rsidRDefault="00F9213F" w:rsidP="008E0F20"/>
    <w:p w:rsidR="00227504" w:rsidRPr="00BE7FCE" w:rsidRDefault="00F9213F" w:rsidP="003E78AC">
      <w:r>
        <w:br w:type="page"/>
      </w:r>
      <w:r w:rsidRPr="00BE7FCE">
        <w:lastRenderedPageBreak/>
        <w:t>9. CONDIȚIONALITĂȚI EX ANTE</w:t>
      </w:r>
    </w:p>
    <w:p w:rsidR="00227504" w:rsidRPr="00BE7FCE" w:rsidRDefault="00F9213F" w:rsidP="00227504">
      <w:pPr>
        <w:pStyle w:val="Text1"/>
        <w:ind w:left="0"/>
      </w:pPr>
    </w:p>
    <w:p w:rsidR="00227504" w:rsidRPr="00F77728" w:rsidRDefault="00F9213F" w:rsidP="00227504">
      <w:pPr>
        <w:pStyle w:val="Heading2"/>
        <w:numPr>
          <w:ilvl w:val="0"/>
          <w:numId w:val="0"/>
        </w:numPr>
      </w:pPr>
      <w:r w:rsidRPr="00BE7FCE">
        <w:t>9.1 Condiționalități ex ante</w:t>
      </w:r>
    </w:p>
    <w:p w:rsidR="00227504" w:rsidRPr="004B2ED1" w:rsidRDefault="00F9213F" w:rsidP="00227504">
      <w:r>
        <w:t>Inform</w:t>
      </w:r>
      <w:r>
        <w:t>ații referitoare la evaluarea aplicabilității și îndeplinirii condiționalităților ex ante (opțional).</w:t>
      </w:r>
    </w:p>
    <w:p w:rsidR="00B31B05" w:rsidRDefault="00F9213F">
      <w:pPr>
        <w:spacing w:before="0" w:after="240"/>
        <w:jc w:val="left"/>
      </w:pPr>
      <w:r>
        <w:t>Condiționalitățile ex-ante reprezintă o parte importantă a pregătirilor pentru perioada de programare 2014-2020. România a demarat procesul de identificar</w:t>
      </w:r>
      <w:r>
        <w:t>e a condiționalităților ex-ante aplicabile începând cu luna noiembrie 2012 și a realizat o primă analiză a gradului de îndeplinire al acestora, conform criteriilor definite.</w:t>
      </w:r>
    </w:p>
    <w:p w:rsidR="00B31B05" w:rsidRDefault="00F9213F">
      <w:pPr>
        <w:spacing w:before="240" w:after="240"/>
        <w:jc w:val="left"/>
      </w:pPr>
      <w:r>
        <w:t> </w:t>
      </w:r>
    </w:p>
    <w:p w:rsidR="00227504" w:rsidRPr="0042051F" w:rsidRDefault="00F9213F" w:rsidP="00227504"/>
    <w:p w:rsidR="00227504" w:rsidRPr="0042051F" w:rsidRDefault="00F9213F" w:rsidP="00227504">
      <w:pPr>
        <w:pStyle w:val="Heading2"/>
        <w:numPr>
          <w:ilvl w:val="0"/>
          <w:numId w:val="0"/>
        </w:numPr>
      </w:pPr>
      <w:r w:rsidRPr="0042051F">
        <w:t>Tabelul 24: Condiționalitățile ex-ante aplicabile și evaluarea îndeplinirii ace</w:t>
      </w:r>
      <w:r w:rsidRPr="0042051F">
        <w:t>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B31B05" w:rsidTr="00717F20">
        <w:trPr>
          <w:tblHeader/>
        </w:trPr>
        <w:tc>
          <w:tcPr>
            <w:tcW w:w="1867" w:type="pct"/>
            <w:shd w:val="clear" w:color="auto" w:fill="auto"/>
          </w:tcPr>
          <w:p w:rsidR="00227504" w:rsidRPr="009A634A" w:rsidRDefault="00F9213F" w:rsidP="00717F20">
            <w:pPr>
              <w:spacing w:after="0"/>
              <w:jc w:val="center"/>
              <w:rPr>
                <w:b/>
                <w:sz w:val="20"/>
              </w:rPr>
            </w:pPr>
            <w:r w:rsidRPr="009A634A">
              <w:rPr>
                <w:b/>
                <w:sz w:val="20"/>
              </w:rPr>
              <w:t>Condiționalitate ex-ante</w:t>
            </w:r>
          </w:p>
        </w:tc>
        <w:tc>
          <w:tcPr>
            <w:tcW w:w="2030" w:type="pct"/>
            <w:shd w:val="clear" w:color="auto" w:fill="auto"/>
          </w:tcPr>
          <w:p w:rsidR="00227504" w:rsidRPr="009A634A" w:rsidRDefault="00F9213F" w:rsidP="00717F20">
            <w:pPr>
              <w:spacing w:after="0"/>
              <w:jc w:val="center"/>
              <w:rPr>
                <w:b/>
                <w:sz w:val="20"/>
              </w:rPr>
            </w:pPr>
            <w:r w:rsidRPr="009A634A">
              <w:rPr>
                <w:b/>
                <w:sz w:val="20"/>
              </w:rPr>
              <w:t>Axele prioritare la care se aplică condiționalitatea</w:t>
            </w:r>
          </w:p>
        </w:tc>
        <w:tc>
          <w:tcPr>
            <w:tcW w:w="1104" w:type="pct"/>
          </w:tcPr>
          <w:p w:rsidR="00227504" w:rsidRPr="009A634A" w:rsidRDefault="00F9213F" w:rsidP="00717F20">
            <w:pPr>
              <w:spacing w:after="0"/>
              <w:jc w:val="center"/>
              <w:rPr>
                <w:b/>
                <w:sz w:val="20"/>
              </w:rPr>
            </w:pPr>
            <w:r w:rsidRPr="009A634A">
              <w:rPr>
                <w:b/>
                <w:sz w:val="20"/>
              </w:rPr>
              <w:t>Condiționalitatea ex ante îndeplinită (Da/Nu/Parțial)</w:t>
            </w:r>
          </w:p>
        </w:tc>
      </w:tr>
      <w:tr w:rsidR="00B31B05" w:rsidTr="00717F20">
        <w:trPr>
          <w:trHeight w:val="397"/>
        </w:trPr>
        <w:tc>
          <w:tcPr>
            <w:tcW w:w="1867" w:type="pct"/>
            <w:shd w:val="clear" w:color="auto" w:fill="auto"/>
          </w:tcPr>
          <w:p w:rsidR="00227504" w:rsidRPr="00E9348A" w:rsidRDefault="00F9213F" w:rsidP="00717F20">
            <w:pPr>
              <w:jc w:val="left"/>
              <w:rPr>
                <w:sz w:val="20"/>
                <w:szCs w:val="20"/>
              </w:rPr>
            </w:pPr>
            <w:r>
              <w:rPr>
                <w:sz w:val="20"/>
                <w:szCs w:val="20"/>
              </w:rPr>
              <w:t>T</w:t>
            </w:r>
            <w:r w:rsidRPr="00E9348A">
              <w:rPr>
                <w:sz w:val="20"/>
                <w:szCs w:val="20"/>
              </w:rPr>
              <w:t>.</w:t>
            </w:r>
            <w:r>
              <w:rPr>
                <w:sz w:val="20"/>
                <w:szCs w:val="20"/>
              </w:rPr>
              <w:t>03.1 -</w:t>
            </w:r>
            <w:r w:rsidRPr="00E9348A">
              <w:rPr>
                <w:sz w:val="20"/>
                <w:szCs w:val="20"/>
              </w:rPr>
              <w:t xml:space="preserve"> </w:t>
            </w:r>
            <w:r>
              <w:rPr>
                <w:sz w:val="20"/>
                <w:szCs w:val="20"/>
              </w:rPr>
              <w:t xml:space="preserve"> Au fost efectuate acțiuni specifice pentru a sprijini promovarea antreprenoriatului ținând seama de </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rPr>
                <w:sz w:val="20"/>
                <w:szCs w:val="20"/>
              </w:rPr>
              <w:t>"</w:t>
            </w:r>
            <w:r>
              <w:rPr>
                <w:sz w:val="20"/>
                <w:szCs w:val="20"/>
              </w:rPr>
              <w:fldChar w:fldCharType="end"/>
            </w:r>
            <w:r>
              <w:rPr>
                <w:sz w:val="20"/>
                <w:szCs w:val="20"/>
              </w:rPr>
              <w:t>Small Business Act</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 xml:space="preserve"> (SBA).</w:t>
            </w:r>
          </w:p>
        </w:tc>
        <w:tc>
          <w:tcPr>
            <w:tcW w:w="2030" w:type="pct"/>
            <w:shd w:val="clear" w:color="auto" w:fill="auto"/>
          </w:tcPr>
          <w:p w:rsidR="00227504" w:rsidRPr="008A26EF" w:rsidRDefault="00F9213F" w:rsidP="00717F20">
            <w:pPr>
              <w:jc w:val="left"/>
              <w:rPr>
                <w:sz w:val="20"/>
                <w:szCs w:val="20"/>
              </w:rPr>
            </w:pPr>
            <w:r>
              <w:rPr>
                <w:sz w:val="20"/>
                <w:szCs w:val="20"/>
              </w:rPr>
              <w:t>AP 1 - Creșterea accesului la finanțare a IMM-urilor din România</w:t>
            </w:r>
          </w:p>
        </w:tc>
        <w:tc>
          <w:tcPr>
            <w:tcW w:w="1104" w:type="pct"/>
          </w:tcPr>
          <w:p w:rsidR="00227504" w:rsidRPr="00E9348A" w:rsidRDefault="00F9213F" w:rsidP="00717F20">
            <w:pPr>
              <w:jc w:val="left"/>
              <w:rPr>
                <w:sz w:val="20"/>
                <w:szCs w:val="20"/>
              </w:rPr>
            </w:pPr>
            <w:r>
              <w:rPr>
                <w:sz w:val="20"/>
                <w:szCs w:val="20"/>
              </w:rPr>
              <w:t>Da</w:t>
            </w:r>
          </w:p>
        </w:tc>
      </w:tr>
      <w:tr w:rsidR="00B31B05" w:rsidTr="00717F20">
        <w:trPr>
          <w:trHeight w:val="397"/>
        </w:trPr>
        <w:tc>
          <w:tcPr>
            <w:tcW w:w="1867" w:type="pct"/>
            <w:shd w:val="clear" w:color="auto" w:fill="auto"/>
          </w:tcPr>
          <w:p w:rsidR="00227504" w:rsidRPr="00E9348A" w:rsidRDefault="00F9213F" w:rsidP="00717F20">
            <w:pPr>
              <w:jc w:val="left"/>
              <w:rPr>
                <w:sz w:val="20"/>
                <w:szCs w:val="20"/>
              </w:rPr>
            </w:pPr>
            <w:r>
              <w:rPr>
                <w:sz w:val="20"/>
                <w:szCs w:val="20"/>
              </w:rPr>
              <w:t>G</w:t>
            </w:r>
            <w:r w:rsidRPr="00E9348A">
              <w:rPr>
                <w:sz w:val="20"/>
                <w:szCs w:val="20"/>
              </w:rPr>
              <w:t>.</w:t>
            </w:r>
            <w:r>
              <w:rPr>
                <w:sz w:val="20"/>
                <w:szCs w:val="20"/>
              </w:rPr>
              <w:t>5 -</w:t>
            </w:r>
            <w:r w:rsidRPr="00E9348A">
              <w:rPr>
                <w:sz w:val="20"/>
                <w:szCs w:val="20"/>
              </w:rPr>
              <w:t xml:space="preserve"> </w:t>
            </w:r>
            <w:r>
              <w:rPr>
                <w:sz w:val="20"/>
                <w:szCs w:val="20"/>
              </w:rPr>
              <w:t xml:space="preserve"> Existența unor măsuri de aplicare eficace a normelor Uniunii din domeniul ajutoarelor de stat în ceea ce privește fondurile ESI.</w:t>
            </w:r>
          </w:p>
        </w:tc>
        <w:tc>
          <w:tcPr>
            <w:tcW w:w="2030" w:type="pct"/>
            <w:shd w:val="clear" w:color="auto" w:fill="auto"/>
          </w:tcPr>
          <w:p w:rsidR="00227504" w:rsidRPr="008A26EF" w:rsidRDefault="00F9213F" w:rsidP="00717F20">
            <w:pPr>
              <w:jc w:val="left"/>
              <w:rPr>
                <w:sz w:val="20"/>
                <w:szCs w:val="20"/>
              </w:rPr>
            </w:pPr>
            <w:r>
              <w:rPr>
                <w:sz w:val="20"/>
                <w:szCs w:val="20"/>
              </w:rPr>
              <w:t xml:space="preserve">AP 1 - </w:t>
            </w:r>
            <w:r>
              <w:rPr>
                <w:sz w:val="20"/>
                <w:szCs w:val="20"/>
              </w:rPr>
              <w:t>Creșterea accesului la finanțare a IMM-urilor din România</w:t>
            </w:r>
          </w:p>
        </w:tc>
        <w:tc>
          <w:tcPr>
            <w:tcW w:w="1104" w:type="pct"/>
          </w:tcPr>
          <w:p w:rsidR="00227504" w:rsidRPr="00E9348A" w:rsidRDefault="00F9213F" w:rsidP="00717F20">
            <w:pPr>
              <w:jc w:val="left"/>
              <w:rPr>
                <w:sz w:val="20"/>
                <w:szCs w:val="20"/>
              </w:rPr>
            </w:pPr>
            <w:r>
              <w:rPr>
                <w:sz w:val="20"/>
                <w:szCs w:val="20"/>
              </w:rPr>
              <w:t>Parțial</w:t>
            </w:r>
          </w:p>
        </w:tc>
      </w:tr>
      <w:tr w:rsidR="00B31B05" w:rsidTr="00717F20">
        <w:trPr>
          <w:trHeight w:val="397"/>
        </w:trPr>
        <w:tc>
          <w:tcPr>
            <w:tcW w:w="1867" w:type="pct"/>
            <w:shd w:val="clear" w:color="auto" w:fill="auto"/>
          </w:tcPr>
          <w:p w:rsidR="00227504" w:rsidRPr="00E9348A" w:rsidRDefault="00F9213F" w:rsidP="00717F20">
            <w:pPr>
              <w:jc w:val="left"/>
              <w:rPr>
                <w:sz w:val="20"/>
                <w:szCs w:val="20"/>
              </w:rPr>
            </w:pPr>
            <w:r>
              <w:rPr>
                <w:sz w:val="20"/>
                <w:szCs w:val="20"/>
              </w:rPr>
              <w:t>G</w:t>
            </w:r>
            <w:r w:rsidRPr="00E9348A">
              <w:rPr>
                <w:sz w:val="20"/>
                <w:szCs w:val="20"/>
              </w:rPr>
              <w:t>.</w:t>
            </w:r>
            <w:r>
              <w:rPr>
                <w:sz w:val="20"/>
                <w:szCs w:val="20"/>
              </w:rPr>
              <w:t>7 -</w:t>
            </w:r>
            <w:r w:rsidRPr="00E9348A">
              <w:rPr>
                <w:sz w:val="20"/>
                <w:szCs w:val="20"/>
              </w:rPr>
              <w:t xml:space="preserve"> </w:t>
            </w:r>
            <w:r>
              <w:rPr>
                <w:sz w:val="20"/>
                <w:szCs w:val="20"/>
              </w:rPr>
              <w:t xml:space="preserve"> Existența unei baze statistice necesare pentru a efectua evaluări ale eficacității și impactului programelor. Existența unui sistem de indicatori de rezultat necesari pentru </w:t>
            </w:r>
            <w:r>
              <w:rPr>
                <w:sz w:val="20"/>
                <w:szCs w:val="20"/>
              </w:rPr>
              <w:t>selectarea acțiunilor care contribuie în modul cel mai eficient la obținerea rezultatelor dorite, monitorizarea progreselor înregistrate în obținerea rezultatelor și efectuarea evaluării impactului.</w:t>
            </w:r>
          </w:p>
        </w:tc>
        <w:tc>
          <w:tcPr>
            <w:tcW w:w="2030" w:type="pct"/>
            <w:shd w:val="clear" w:color="auto" w:fill="auto"/>
          </w:tcPr>
          <w:p w:rsidR="00227504" w:rsidRPr="008A26EF" w:rsidRDefault="00F9213F" w:rsidP="00717F20">
            <w:pPr>
              <w:jc w:val="left"/>
              <w:rPr>
                <w:sz w:val="20"/>
                <w:szCs w:val="20"/>
              </w:rPr>
            </w:pPr>
            <w:r>
              <w:rPr>
                <w:sz w:val="20"/>
                <w:szCs w:val="20"/>
              </w:rPr>
              <w:t xml:space="preserve">AP 1 - Creșterea accesului la finanțare a IMM-urilor din </w:t>
            </w:r>
            <w:r>
              <w:rPr>
                <w:sz w:val="20"/>
                <w:szCs w:val="20"/>
              </w:rPr>
              <w:t>România</w:t>
            </w:r>
          </w:p>
        </w:tc>
        <w:tc>
          <w:tcPr>
            <w:tcW w:w="1104" w:type="pct"/>
          </w:tcPr>
          <w:p w:rsidR="00227504" w:rsidRPr="00E9348A" w:rsidRDefault="00F9213F" w:rsidP="00717F20">
            <w:pPr>
              <w:jc w:val="left"/>
              <w:rPr>
                <w:sz w:val="20"/>
                <w:szCs w:val="20"/>
              </w:rPr>
            </w:pPr>
            <w:r>
              <w:rPr>
                <w:sz w:val="20"/>
                <w:szCs w:val="20"/>
              </w:rPr>
              <w:t>Da</w:t>
            </w:r>
          </w:p>
        </w:tc>
      </w:tr>
    </w:tbl>
    <w:p w:rsidR="00227504" w:rsidRDefault="00F9213F" w:rsidP="00227504">
      <w:pPr>
        <w:sectPr w:rsidR="00227504" w:rsidSect="006B2612">
          <w:footerReference w:type="default" r:id="rId10"/>
          <w:pgSz w:w="11906" w:h="16838"/>
          <w:pgMar w:top="1022" w:right="1699" w:bottom="1022" w:left="1584" w:header="709" w:footer="709"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B31B05" w:rsidTr="00717F20">
        <w:trPr>
          <w:tblHeader/>
        </w:trPr>
        <w:tc>
          <w:tcPr>
            <w:tcW w:w="1125" w:type="pct"/>
            <w:shd w:val="clear" w:color="auto" w:fill="auto"/>
          </w:tcPr>
          <w:p w:rsidR="00227504" w:rsidRPr="009A634A" w:rsidRDefault="00F9213F" w:rsidP="00717F20">
            <w:pPr>
              <w:spacing w:after="0"/>
              <w:jc w:val="center"/>
              <w:rPr>
                <w:b/>
                <w:sz w:val="20"/>
              </w:rPr>
            </w:pPr>
            <w:r w:rsidRPr="009A634A">
              <w:rPr>
                <w:b/>
                <w:sz w:val="20"/>
              </w:rPr>
              <w:lastRenderedPageBreak/>
              <w:t>Condiționalitate ex-ante</w:t>
            </w:r>
          </w:p>
        </w:tc>
        <w:tc>
          <w:tcPr>
            <w:tcW w:w="1162" w:type="pct"/>
          </w:tcPr>
          <w:p w:rsidR="00227504" w:rsidRPr="009A634A" w:rsidRDefault="00F9213F" w:rsidP="00717F20">
            <w:pPr>
              <w:spacing w:after="0"/>
              <w:jc w:val="center"/>
              <w:rPr>
                <w:b/>
                <w:sz w:val="20"/>
              </w:rPr>
            </w:pPr>
            <w:r w:rsidRPr="009A634A">
              <w:rPr>
                <w:b/>
                <w:sz w:val="20"/>
              </w:rPr>
              <w:t>Criterii</w:t>
            </w:r>
          </w:p>
        </w:tc>
        <w:tc>
          <w:tcPr>
            <w:tcW w:w="429" w:type="pct"/>
          </w:tcPr>
          <w:p w:rsidR="00227504" w:rsidRPr="009A634A" w:rsidRDefault="00F9213F" w:rsidP="00717F20">
            <w:pPr>
              <w:spacing w:after="0"/>
              <w:jc w:val="center"/>
              <w:rPr>
                <w:b/>
                <w:sz w:val="20"/>
              </w:rPr>
            </w:pPr>
            <w:r w:rsidRPr="009A634A">
              <w:rPr>
                <w:b/>
                <w:sz w:val="20"/>
              </w:rPr>
              <w:t>Criteriile îndeplinite (Da/Nu)</w:t>
            </w:r>
          </w:p>
        </w:tc>
        <w:tc>
          <w:tcPr>
            <w:tcW w:w="1146" w:type="pct"/>
          </w:tcPr>
          <w:p w:rsidR="00227504" w:rsidRPr="009A634A" w:rsidRDefault="00F9213F" w:rsidP="00717F20">
            <w:pPr>
              <w:spacing w:after="0"/>
              <w:jc w:val="center"/>
              <w:rPr>
                <w:sz w:val="18"/>
                <w:szCs w:val="18"/>
              </w:rPr>
            </w:pPr>
            <w:r w:rsidRPr="009A634A">
              <w:rPr>
                <w:b/>
                <w:sz w:val="22"/>
                <w:szCs w:val="22"/>
              </w:rPr>
              <w:t>Referință</w:t>
            </w:r>
          </w:p>
        </w:tc>
        <w:tc>
          <w:tcPr>
            <w:tcW w:w="1139" w:type="pct"/>
          </w:tcPr>
          <w:p w:rsidR="00227504" w:rsidRPr="009A634A" w:rsidRDefault="00F9213F" w:rsidP="00717F20">
            <w:pPr>
              <w:spacing w:after="0"/>
              <w:jc w:val="center"/>
              <w:rPr>
                <w:b/>
                <w:sz w:val="22"/>
                <w:szCs w:val="22"/>
              </w:rPr>
            </w:pPr>
            <w:r w:rsidRPr="009A634A">
              <w:rPr>
                <w:b/>
                <w:sz w:val="22"/>
                <w:szCs w:val="22"/>
              </w:rPr>
              <w:t>Explicații</w:t>
            </w: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T.03.1 </w:t>
            </w:r>
            <w:r>
              <w:rPr>
                <w:sz w:val="20"/>
                <w:szCs w:val="20"/>
              </w:rPr>
              <w:t xml:space="preserve">-  </w:t>
            </w:r>
            <w:r w:rsidRPr="00E9348A">
              <w:rPr>
                <w:sz w:val="20"/>
                <w:szCs w:val="20"/>
              </w:rPr>
              <w:t>Au fost efectuate acțiuni specifice pen</w:t>
            </w:r>
            <w:r w:rsidRPr="00E9348A">
              <w:rPr>
                <w:sz w:val="20"/>
                <w:szCs w:val="20"/>
              </w:rPr>
              <w:t xml:space="preserve">tru a sprijini promovarea antreprenoriatului ținând seama de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(SBA).</w:t>
            </w:r>
          </w:p>
        </w:tc>
        <w:tc>
          <w:tcPr>
            <w:tcW w:w="1162" w:type="pct"/>
          </w:tcPr>
          <w:p w:rsidR="00227504" w:rsidRPr="00DC028E" w:rsidRDefault="00F9213F" w:rsidP="00717F20">
            <w:pPr>
              <w:jc w:val="left"/>
              <w:rPr>
                <w:sz w:val="20"/>
              </w:rPr>
            </w:pPr>
            <w:r>
              <w:rPr>
                <w:sz w:val="20"/>
              </w:rPr>
              <w:t>1 - Acțiunile specifice sunt: s-au adoptat măsuri pentru a reduce timpul și costurile necesare pentru a crea o întreprindere, având în vedere obi</w:t>
            </w:r>
            <w:r>
              <w:rPr>
                <w:sz w:val="20"/>
              </w:rPr>
              <w:t>ectivele SBA;</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 xml:space="preserve">https://portal.onrc.ro http://www.imm.gov.ro/59/Activitati-si-acte-legislative </w:t>
            </w:r>
          </w:p>
        </w:tc>
        <w:tc>
          <w:tcPr>
            <w:tcW w:w="1139" w:type="pct"/>
          </w:tcPr>
          <w:p w:rsidR="00227504" w:rsidRPr="00E9348A" w:rsidRDefault="00F9213F" w:rsidP="00717F20">
            <w:pPr>
              <w:rPr>
                <w:sz w:val="20"/>
                <w:szCs w:val="20"/>
              </w:rPr>
            </w:pPr>
            <w:r w:rsidRPr="00E9348A">
              <w:rPr>
                <w:sz w:val="20"/>
                <w:szCs w:val="20"/>
              </w:rPr>
              <w:t>Un portal dedicat pentru servicii on-line pentru mediul de afaceri a fost implementat de catre Oficiul Național al Registrului Comerțului și Ministerul Finanțe</w:t>
            </w:r>
            <w:r w:rsidRPr="00E9348A">
              <w:rPr>
                <w:sz w:val="20"/>
                <w:szCs w:val="20"/>
              </w:rPr>
              <w:t>lor Publice. Măsura ajută antreprenorii să reducă timpul de inițiere a unei afaceri la 3 zile și să reducă implicit costurile. Oficiul Național al Registrului Comerțului obține elctronic de la Ministerul Finanțelor Publice certificatul de atestare a docume</w:t>
            </w:r>
            <w:r w:rsidRPr="00E9348A">
              <w:rPr>
                <w:sz w:val="20"/>
                <w:szCs w:val="20"/>
              </w:rPr>
              <w:t>ntelor pentru întreprindere în cadrul perioadei de înregistrare de 3 zile.</w:t>
            </w:r>
          </w:p>
          <w:p w:rsidR="00227504" w:rsidRPr="00E9348A" w:rsidRDefault="00F9213F" w:rsidP="00717F20">
            <w:pPr>
              <w:rPr>
                <w:sz w:val="20"/>
                <w:szCs w:val="20"/>
              </w:rPr>
            </w:pPr>
          </w:p>
          <w:p w:rsidR="00227504" w:rsidRPr="00E9348A" w:rsidRDefault="00F9213F" w:rsidP="00717F20">
            <w:pPr>
              <w:rPr>
                <w:sz w:val="20"/>
                <w:szCs w:val="20"/>
              </w:rPr>
            </w:pPr>
            <w:r w:rsidRPr="00E9348A">
              <w:rPr>
                <w:sz w:val="20"/>
                <w:szCs w:val="20"/>
              </w:rPr>
              <w:t xml:space="preserve">Reducrea timpului de înființare a unei noi întreprinderi la 3 zile și stabilirea unui cost mediu de 100 Euro s-a relizat din 2012 (HG nr. 902/2012 privind aprobarea taxelor si </w:t>
            </w:r>
            <w:r w:rsidRPr="00E9348A">
              <w:rPr>
                <w:sz w:val="20"/>
                <w:szCs w:val="20"/>
              </w:rPr>
              <w:t>tarifelor pentru operatiunile efectuate de Oficiul National al Registrului Comertului si oficiile registrului comertului de pe langa tribunale a fost publicata in MO nr. 667, din 24 septembrie 2012).</w:t>
            </w:r>
          </w:p>
          <w:p w:rsidR="00227504" w:rsidRPr="00E9348A" w:rsidRDefault="00F9213F" w:rsidP="00717F20">
            <w:pPr>
              <w:rPr>
                <w:sz w:val="20"/>
                <w:szCs w:val="20"/>
              </w:rPr>
            </w:pP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T.03.1 </w:t>
            </w:r>
            <w:r>
              <w:rPr>
                <w:sz w:val="20"/>
                <w:szCs w:val="20"/>
              </w:rPr>
              <w:t xml:space="preserve">-  </w:t>
            </w:r>
            <w:r w:rsidRPr="00E9348A">
              <w:rPr>
                <w:sz w:val="20"/>
                <w:szCs w:val="20"/>
              </w:rPr>
              <w:t>Au fost efectuate acțiuni specifice pentru a</w:t>
            </w:r>
            <w:r w:rsidRPr="00E9348A">
              <w:rPr>
                <w:sz w:val="20"/>
                <w:szCs w:val="20"/>
              </w:rPr>
              <w:t xml:space="preserve"> sprijini promovarea antreprenoriatului ținând seama de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(SBA).</w:t>
            </w:r>
          </w:p>
        </w:tc>
        <w:tc>
          <w:tcPr>
            <w:tcW w:w="1162" w:type="pct"/>
          </w:tcPr>
          <w:p w:rsidR="00227504" w:rsidRPr="00DC028E" w:rsidRDefault="00F9213F" w:rsidP="00717F20">
            <w:pPr>
              <w:jc w:val="left"/>
              <w:rPr>
                <w:sz w:val="20"/>
              </w:rPr>
            </w:pPr>
            <w:r>
              <w:rPr>
                <w:sz w:val="20"/>
              </w:rPr>
              <w:t>2 - Acțiunile specifice sunt: s-au adoptat măsuri pentru a reduce timpul necesar pentru a obține licențele și autorizațiile pentru a iniția și desfășu</w:t>
            </w:r>
            <w:r>
              <w:rPr>
                <w:sz w:val="20"/>
              </w:rPr>
              <w:t xml:space="preserve">ra activitatea </w:t>
            </w:r>
            <w:r>
              <w:rPr>
                <w:sz w:val="20"/>
              </w:rPr>
              <w:lastRenderedPageBreak/>
              <w:t>specifică a unei întreprinderi, având în vedere obiectivele SBA;</w:t>
            </w:r>
          </w:p>
        </w:tc>
        <w:tc>
          <w:tcPr>
            <w:tcW w:w="429" w:type="pct"/>
          </w:tcPr>
          <w:p w:rsidR="00227504" w:rsidRPr="00DC028E" w:rsidRDefault="00F9213F" w:rsidP="00717F20">
            <w:pPr>
              <w:jc w:val="center"/>
              <w:rPr>
                <w:sz w:val="20"/>
              </w:rPr>
            </w:pPr>
            <w:r>
              <w:rPr>
                <w:sz w:val="20"/>
              </w:rPr>
              <w:lastRenderedPageBreak/>
              <w:t>Da</w:t>
            </w:r>
          </w:p>
        </w:tc>
        <w:tc>
          <w:tcPr>
            <w:tcW w:w="1146" w:type="pct"/>
          </w:tcPr>
          <w:p w:rsidR="00227504" w:rsidRPr="00E9348A" w:rsidRDefault="00F9213F" w:rsidP="00717F20">
            <w:pPr>
              <w:rPr>
                <w:sz w:val="20"/>
                <w:szCs w:val="20"/>
              </w:rPr>
            </w:pPr>
            <w:r>
              <w:t xml:space="preserve">Conform inventarului realizat de MEIMMMA. </w:t>
            </w:r>
          </w:p>
        </w:tc>
        <w:tc>
          <w:tcPr>
            <w:tcW w:w="1139" w:type="pct"/>
          </w:tcPr>
          <w:p w:rsidR="00227504" w:rsidRPr="00E9348A" w:rsidRDefault="00F9213F" w:rsidP="00717F20">
            <w:pPr>
              <w:rPr>
                <w:sz w:val="20"/>
                <w:szCs w:val="20"/>
              </w:rPr>
            </w:pPr>
            <w:r w:rsidRPr="00E9348A">
              <w:rPr>
                <w:sz w:val="20"/>
                <w:szCs w:val="20"/>
              </w:rPr>
              <w:t xml:space="preserve">Ministerul Energiei, IMM-urilor şi Mediului de Afaceri a procedat la inventarierea licenţelor şi autorizaţiilor necesare pentru a </w:t>
            </w:r>
            <w:r w:rsidRPr="00E9348A">
              <w:rPr>
                <w:sz w:val="20"/>
                <w:szCs w:val="20"/>
              </w:rPr>
              <w:t xml:space="preserve">se iniţia şi desfăşura </w:t>
            </w:r>
            <w:r w:rsidRPr="00E9348A">
              <w:rPr>
                <w:sz w:val="20"/>
                <w:szCs w:val="20"/>
              </w:rPr>
              <w:lastRenderedPageBreak/>
              <w:t>activitatea specifică a unei întreprinderi. Durata necesară obţinerii fiecărui document se încadrează în perioada maximă de 3 luni prevăzută de SBA.</w:t>
            </w: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lastRenderedPageBreak/>
              <w:t xml:space="preserve">T.03.1 </w:t>
            </w:r>
            <w:r>
              <w:rPr>
                <w:sz w:val="20"/>
                <w:szCs w:val="20"/>
              </w:rPr>
              <w:t xml:space="preserve">-  </w:t>
            </w:r>
            <w:r w:rsidRPr="00E9348A">
              <w:rPr>
                <w:sz w:val="20"/>
                <w:szCs w:val="20"/>
              </w:rPr>
              <w:t>Au fost efectuate acțiuni specifice pentru a sprijini promovarea antrepre</w:t>
            </w:r>
            <w:r w:rsidRPr="00E9348A">
              <w:rPr>
                <w:sz w:val="20"/>
                <w:szCs w:val="20"/>
              </w:rPr>
              <w:t xml:space="preserve">noriatului ținând seama de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(SBA).</w:t>
            </w:r>
          </w:p>
        </w:tc>
        <w:tc>
          <w:tcPr>
            <w:tcW w:w="1162" w:type="pct"/>
          </w:tcPr>
          <w:p w:rsidR="00227504" w:rsidRPr="00DC028E" w:rsidRDefault="00F9213F" w:rsidP="00717F20">
            <w:pPr>
              <w:jc w:val="left"/>
              <w:rPr>
                <w:sz w:val="20"/>
              </w:rPr>
            </w:pPr>
            <w:r>
              <w:rPr>
                <w:sz w:val="20"/>
              </w:rPr>
              <w:t>3 - Acțiunile specifice sunt: s-a adoptat un mecanism de monitorizare a implementării măsurilor din SBA care au fost aplicate și de evaluare a impactului pe care legislația îl are</w:t>
            </w:r>
            <w:r>
              <w:rPr>
                <w:sz w:val="20"/>
              </w:rPr>
              <w:t xml:space="preserve"> asupra IMM-urilor.</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 xml:space="preserve">http://www.imm.gov.ro/46/Legislatie-IMM http://imm.gov.ro/93/Testul-IMM </w:t>
            </w:r>
          </w:p>
        </w:tc>
        <w:tc>
          <w:tcPr>
            <w:tcW w:w="1139" w:type="pct"/>
          </w:tcPr>
          <w:p w:rsidR="00227504" w:rsidRPr="00E9348A" w:rsidRDefault="00F9213F" w:rsidP="00717F20">
            <w:pPr>
              <w:rPr>
                <w:sz w:val="20"/>
                <w:szCs w:val="20"/>
              </w:rPr>
            </w:pPr>
            <w:r w:rsidRPr="00E9348A">
              <w:rPr>
                <w:sz w:val="20"/>
                <w:szCs w:val="20"/>
              </w:rPr>
              <w:t>Legea 346/2004 (cu modificările și completările ulterioare) – art.25(4) – stabileste un un Comitet Consultativ pentru Dezvoltarea sectorului IMM, în care sunt i</w:t>
            </w:r>
            <w:r w:rsidRPr="00E9348A">
              <w:rPr>
                <w:sz w:val="20"/>
                <w:szCs w:val="20"/>
              </w:rPr>
              <w:t>ncluși reprezentanți ai Camerelor de comerț și industrie, IMM-urilor, organizațiilor non-guvernamentale, autorutăți specializate din administrația publică centrală, precum și autorități locale. Art.9 stabilește de asemenea un Grup pentru evaluarea impactul</w:t>
            </w:r>
            <w:r w:rsidRPr="00E9348A">
              <w:rPr>
                <w:sz w:val="20"/>
                <w:szCs w:val="20"/>
              </w:rPr>
              <w:t>ui economic al actelor normative asupra întreprinderilor mici şi mijlocii.</w:t>
            </w:r>
          </w:p>
          <w:p w:rsidR="00227504" w:rsidRPr="00E9348A" w:rsidRDefault="00F9213F" w:rsidP="00717F20">
            <w:pPr>
              <w:rPr>
                <w:sz w:val="20"/>
                <w:szCs w:val="20"/>
              </w:rPr>
            </w:pPr>
          </w:p>
          <w:p w:rsidR="00227504" w:rsidRPr="00E9348A" w:rsidRDefault="00F9213F" w:rsidP="00717F20">
            <w:pPr>
              <w:rPr>
                <w:sz w:val="20"/>
                <w:szCs w:val="20"/>
              </w:rPr>
            </w:pPr>
            <w:r w:rsidRPr="00E9348A">
              <w:rPr>
                <w:sz w:val="20"/>
                <w:szCs w:val="20"/>
              </w:rPr>
              <w:t>Legea 346/2004 (modificată și completată prin Legea 62/2014) art9. stabilește un Grup de Lucru prin care este introdusă evaluarea impactul inițiativelor legislative asupra întrepri</w:t>
            </w:r>
            <w:r w:rsidRPr="00E9348A">
              <w:rPr>
                <w:sz w:val="20"/>
                <w:szCs w:val="20"/>
              </w:rPr>
              <w:t>nderilor mici și mijlocii. De asemenea, art91 stabilește obligația de a introduce și utiliza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Testul IMM</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pentru a evalua impactul inițiativelor legislative asupra mediului de afaceri, conform principiilor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o singură dată</w:t>
            </w:r>
            <w:r w:rsidRPr="00E9348A">
              <w:rPr>
                <w:sz w:val="20"/>
                <w:szCs w:val="20"/>
              </w:rPr>
              <w:fldChar w:fldCharType="begin"/>
            </w:r>
            <w:r w:rsidRPr="00E9348A">
              <w:rPr>
                <w:sz w:val="20"/>
                <w:szCs w:val="20"/>
              </w:rPr>
              <w:instrText>QUO</w:instrText>
            </w:r>
            <w:r w:rsidRPr="00E9348A">
              <w:rPr>
                <w:sz w:val="20"/>
                <w:szCs w:val="20"/>
              </w:rPr>
              <w:instrText>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r w:rsidRPr="00E9348A">
              <w:rPr>
                <w:sz w:val="20"/>
                <w:szCs w:val="20"/>
              </w:rPr>
              <w:lastRenderedPageBreak/>
              <w:t xml:space="preserve">(Only once),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Gândiţi mai întâi la scară mică</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(think small first)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numărul constant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(one in/one out). </w:t>
            </w: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lastRenderedPageBreak/>
              <w:t xml:space="preserve">G.5 </w:t>
            </w:r>
            <w:r>
              <w:rPr>
                <w:sz w:val="20"/>
                <w:szCs w:val="20"/>
              </w:rPr>
              <w:t xml:space="preserve">-  </w:t>
            </w:r>
            <w:r w:rsidRPr="00E9348A">
              <w:rPr>
                <w:sz w:val="20"/>
                <w:szCs w:val="20"/>
              </w:rPr>
              <w:t xml:space="preserve">Existența unor măsuri de aplicare eficace a normelor Uniunii din domeniul ajutoarelor de </w:t>
            </w:r>
            <w:r w:rsidRPr="00E9348A">
              <w:rPr>
                <w:sz w:val="20"/>
                <w:szCs w:val="20"/>
              </w:rPr>
              <w:t>stat în ceea ce privește fondurile ESI.</w:t>
            </w:r>
          </w:p>
        </w:tc>
        <w:tc>
          <w:tcPr>
            <w:tcW w:w="1162" w:type="pct"/>
          </w:tcPr>
          <w:p w:rsidR="00227504" w:rsidRPr="00DC028E" w:rsidRDefault="00F9213F" w:rsidP="00717F20">
            <w:pPr>
              <w:jc w:val="left"/>
              <w:rPr>
                <w:sz w:val="20"/>
              </w:rPr>
            </w:pPr>
            <w:r>
              <w:rPr>
                <w:sz w:val="20"/>
              </w:rPr>
              <w:t>1 - Măsuri referitoare la aplicarea eficace a normelor Uniunii privind ajutoarele de stat.</w:t>
            </w:r>
          </w:p>
        </w:tc>
        <w:tc>
          <w:tcPr>
            <w:tcW w:w="429" w:type="pct"/>
          </w:tcPr>
          <w:p w:rsidR="00227504" w:rsidRPr="00DC028E" w:rsidRDefault="00F9213F" w:rsidP="00717F20">
            <w:pPr>
              <w:jc w:val="center"/>
              <w:rPr>
                <w:sz w:val="20"/>
              </w:rPr>
            </w:pPr>
            <w:r>
              <w:rPr>
                <w:sz w:val="20"/>
              </w:rPr>
              <w:t>Nu</w:t>
            </w:r>
          </w:p>
        </w:tc>
        <w:tc>
          <w:tcPr>
            <w:tcW w:w="1146" w:type="pct"/>
          </w:tcPr>
          <w:p w:rsidR="00227504" w:rsidRPr="00E9348A" w:rsidRDefault="00F9213F" w:rsidP="00717F20">
            <w:pPr>
              <w:rPr>
                <w:sz w:val="20"/>
                <w:szCs w:val="20"/>
              </w:rPr>
            </w:pPr>
          </w:p>
        </w:tc>
        <w:tc>
          <w:tcPr>
            <w:tcW w:w="1139" w:type="pct"/>
          </w:tcPr>
          <w:p w:rsidR="00227504" w:rsidRPr="00E9348A" w:rsidRDefault="00F9213F" w:rsidP="00717F20">
            <w:pPr>
              <w:rPr>
                <w:sz w:val="20"/>
                <w:szCs w:val="20"/>
              </w:rPr>
            </w:pP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G.5 </w:t>
            </w:r>
            <w:r>
              <w:rPr>
                <w:sz w:val="20"/>
                <w:szCs w:val="20"/>
              </w:rPr>
              <w:t xml:space="preserve">-  </w:t>
            </w:r>
            <w:r w:rsidRPr="00E9348A">
              <w:rPr>
                <w:sz w:val="20"/>
                <w:szCs w:val="20"/>
              </w:rPr>
              <w:t>Existența unor măsuri de aplicare eficace a normelor Uniunii din domeniul ajutoarelor de stat în ceea ce priveșt</w:t>
            </w:r>
            <w:r w:rsidRPr="00E9348A">
              <w:rPr>
                <w:sz w:val="20"/>
                <w:szCs w:val="20"/>
              </w:rPr>
              <w:t>e fondurile ESI.</w:t>
            </w:r>
          </w:p>
        </w:tc>
        <w:tc>
          <w:tcPr>
            <w:tcW w:w="1162" w:type="pct"/>
          </w:tcPr>
          <w:p w:rsidR="00227504" w:rsidRPr="00DC028E" w:rsidRDefault="00F9213F" w:rsidP="00717F20">
            <w:pPr>
              <w:jc w:val="left"/>
              <w:rPr>
                <w:sz w:val="20"/>
              </w:rPr>
            </w:pPr>
            <w:r>
              <w:rPr>
                <w:sz w:val="20"/>
              </w:rPr>
              <w:t>2 - Modalitățile de formare și de difuzare a informațiilor pentru personalul implicat în implementarea fondurilor ESI.</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 xml:space="preserve">www.renascc.eu   www.ajutordestat.ro   www.ajutordestat.eu   </w:t>
            </w:r>
          </w:p>
        </w:tc>
        <w:tc>
          <w:tcPr>
            <w:tcW w:w="1139" w:type="pct"/>
          </w:tcPr>
          <w:p w:rsidR="00227504" w:rsidRPr="00E9348A" w:rsidRDefault="00F9213F" w:rsidP="00717F20">
            <w:pPr>
              <w:rPr>
                <w:sz w:val="20"/>
                <w:szCs w:val="20"/>
              </w:rPr>
            </w:pPr>
            <w:r w:rsidRPr="00E9348A">
              <w:rPr>
                <w:sz w:val="20"/>
                <w:szCs w:val="20"/>
              </w:rPr>
              <w:t xml:space="preserve">Incepand cu 1 ianuarie 2007 legislatia ajutorului de </w:t>
            </w:r>
            <w:r w:rsidRPr="00E9348A">
              <w:rPr>
                <w:sz w:val="20"/>
                <w:szCs w:val="20"/>
              </w:rPr>
              <w:t>stat este direct aplicabila in Romania. La nivel national Consiliul Concurentei (CC), institutie independenta, indeplineste rolul de punct de contact in domeniul ajutorului de stat intre autoritatile romane si Comisia Europeana (OUG nr. 77/2014 privind pro</w:t>
            </w:r>
            <w:r w:rsidRPr="00E9348A">
              <w:rPr>
                <w:sz w:val="20"/>
                <w:szCs w:val="20"/>
              </w:rPr>
              <w:t>cedurile naţionale în domeniul ajutorului de stat, precum şi pentru modificarea şi completarea Legii concurenţei nr. 21/1996).</w:t>
            </w:r>
          </w:p>
          <w:p w:rsidR="00227504" w:rsidRPr="00E9348A" w:rsidRDefault="00F9213F" w:rsidP="00717F20">
            <w:pPr>
              <w:rPr>
                <w:sz w:val="20"/>
                <w:szCs w:val="20"/>
              </w:rPr>
            </w:pPr>
          </w:p>
          <w:p w:rsidR="00227504" w:rsidRPr="00E9348A" w:rsidRDefault="00F9213F" w:rsidP="00717F20">
            <w:pPr>
              <w:rPr>
                <w:sz w:val="20"/>
                <w:szCs w:val="20"/>
              </w:rPr>
            </w:pPr>
            <w:r w:rsidRPr="00E9348A">
              <w:rPr>
                <w:sz w:val="20"/>
                <w:szCs w:val="20"/>
              </w:rPr>
              <w:t>De asemenea, experți în domeniul ajutorului de stat din cadrul CC sunt implicati in grupul de lucru pentru elaborarea PO, oferin</w:t>
            </w:r>
            <w:r w:rsidRPr="00E9348A">
              <w:rPr>
                <w:sz w:val="20"/>
                <w:szCs w:val="20"/>
              </w:rPr>
              <w:t xml:space="preserve">d expertilor din cadrul AM asistenta de specialitatea in identificarea elementelor de ajutor de stat specifice programului, incadrarea acestora pe regulamentele de ajutor de stat aplicabile, precum si in elaborarea propriu-zisa a schemelor de ajutor de </w:t>
            </w:r>
            <w:r w:rsidRPr="00E9348A">
              <w:rPr>
                <w:sz w:val="20"/>
                <w:szCs w:val="20"/>
              </w:rPr>
              <w:lastRenderedPageBreak/>
              <w:t>sta</w:t>
            </w:r>
            <w:r w:rsidRPr="00E9348A">
              <w:rPr>
                <w:sz w:val="20"/>
                <w:szCs w:val="20"/>
              </w:rPr>
              <w:t>t. Personalul dinn cadrul sistemului de gestionare FESI a beneficiat de cursuri de formare profesională pe ajutor de stat.</w:t>
            </w:r>
          </w:p>
          <w:p w:rsidR="00227504" w:rsidRPr="00E9348A" w:rsidRDefault="00F9213F" w:rsidP="00717F20">
            <w:pPr>
              <w:rPr>
                <w:sz w:val="20"/>
                <w:szCs w:val="20"/>
              </w:rPr>
            </w:pP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lastRenderedPageBreak/>
              <w:t xml:space="preserve">G.5 </w:t>
            </w:r>
            <w:r>
              <w:rPr>
                <w:sz w:val="20"/>
                <w:szCs w:val="20"/>
              </w:rPr>
              <w:t xml:space="preserve">-  </w:t>
            </w:r>
            <w:r w:rsidRPr="00E9348A">
              <w:rPr>
                <w:sz w:val="20"/>
                <w:szCs w:val="20"/>
              </w:rPr>
              <w:t xml:space="preserve">Existența unor măsuri de aplicare eficace a normelor Uniunii din domeniul ajutoarelor de stat în ceea ce privește fondurile </w:t>
            </w:r>
            <w:r w:rsidRPr="00E9348A">
              <w:rPr>
                <w:sz w:val="20"/>
                <w:szCs w:val="20"/>
              </w:rPr>
              <w:t>ESI.</w:t>
            </w:r>
          </w:p>
        </w:tc>
        <w:tc>
          <w:tcPr>
            <w:tcW w:w="1162" w:type="pct"/>
          </w:tcPr>
          <w:p w:rsidR="00227504" w:rsidRPr="00DC028E" w:rsidRDefault="00F9213F" w:rsidP="00717F20">
            <w:pPr>
              <w:jc w:val="left"/>
              <w:rPr>
                <w:sz w:val="20"/>
              </w:rPr>
            </w:pPr>
            <w:r>
              <w:rPr>
                <w:sz w:val="20"/>
              </w:rPr>
              <w:t>3 - Măsuri de asigurare a capacității administrative de punere în aplicare și aplicarea normelor Uniunii din domeniul ajutoarelor de stat.</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 xml:space="preserve">www.renascc.eu www.ajutordestat.ro   www.ajutordestat.eu   </w:t>
            </w:r>
          </w:p>
        </w:tc>
        <w:tc>
          <w:tcPr>
            <w:tcW w:w="1139" w:type="pct"/>
          </w:tcPr>
          <w:p w:rsidR="00227504" w:rsidRPr="00E9348A" w:rsidRDefault="00F9213F" w:rsidP="00717F20">
            <w:pPr>
              <w:rPr>
                <w:sz w:val="20"/>
                <w:szCs w:val="20"/>
              </w:rPr>
            </w:pPr>
            <w:r w:rsidRPr="00E9348A">
              <w:rPr>
                <w:sz w:val="20"/>
                <w:szCs w:val="20"/>
              </w:rPr>
              <w:t xml:space="preserve">CC este organismul central care asigura la nivel </w:t>
            </w:r>
            <w:r w:rsidRPr="00E9348A">
              <w:rPr>
                <w:sz w:val="20"/>
                <w:szCs w:val="20"/>
              </w:rPr>
              <w:t>national respectarea regulilor ajutorului de stat potrivit OUG nr. 77/2014 privind procedurile naţionale în domeniul ajutorului de stat, precum şi pentru modificarea şi completarea Legii concurenţei nr. 21/1996. Totodata, CC ofera asistenta din punct de ve</w:t>
            </w:r>
            <w:r w:rsidRPr="00E9348A">
              <w:rPr>
                <w:sz w:val="20"/>
                <w:szCs w:val="20"/>
              </w:rPr>
              <w:t>dere legal si practic privind aplicabilitatea legislatiei ajutorului de stat in programele operationale. CC are capacitatea administrativa necesara indeplinirii obligatiilor sale legate ajutoarele de stat acordate la nivel national (atat din fonduri europe</w:t>
            </w:r>
            <w:r w:rsidRPr="00E9348A">
              <w:rPr>
                <w:sz w:val="20"/>
                <w:szCs w:val="20"/>
              </w:rPr>
              <w:t>ne,cat si din fonduri dela bugetul de stat).</w:t>
            </w: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w:t>
            </w:r>
            <w:r w:rsidRPr="00E9348A">
              <w:rPr>
                <w:sz w:val="20"/>
                <w:szCs w:val="20"/>
              </w:rPr>
              <w:t xml:space="preserve">ntribuie în modul cel mai eficient la obținerea rezultatelor dorite, monitorizarea progreselor înregistrate în obținerea rezultatelor și </w:t>
            </w:r>
            <w:r w:rsidRPr="00E9348A">
              <w:rPr>
                <w:sz w:val="20"/>
                <w:szCs w:val="20"/>
              </w:rPr>
              <w:lastRenderedPageBreak/>
              <w:t>efectuarea evaluării impactului.</w:t>
            </w:r>
          </w:p>
        </w:tc>
        <w:tc>
          <w:tcPr>
            <w:tcW w:w="1162" w:type="pct"/>
          </w:tcPr>
          <w:p w:rsidR="00227504" w:rsidRPr="00DC028E" w:rsidRDefault="00F9213F" w:rsidP="00717F20">
            <w:pPr>
              <w:jc w:val="left"/>
              <w:rPr>
                <w:sz w:val="20"/>
              </w:rPr>
            </w:pPr>
            <w:r>
              <w:rPr>
                <w:sz w:val="20"/>
              </w:rPr>
              <w:lastRenderedPageBreak/>
              <w:t>1 - Existența unor măsuri privind colectarea și agregarea rapidă a datelor statistice,</w:t>
            </w:r>
            <w:r>
              <w:rPr>
                <w:sz w:val="20"/>
              </w:rPr>
              <w:t xml:space="preserve"> cu următoarele elemente: identificarea surselor și mecanismelor de asigurare a validării statistice.</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În concordanță cu Decizia de punere în aplicare a Comisiei din 11 septembrie 2014 privind modelul de acord de finanțare pentru contribuția din Fondul e</w:t>
            </w:r>
            <w:r>
              <w:t xml:space="preserve">uropean de dezvoltare regională și din Fondul european agricol </w:t>
            </w:r>
            <w:r>
              <w:lastRenderedPageBreak/>
              <w:t>pentru dezvoltare rurală la instrumentele financiare de garantare neplafonată comună și de titlurizare în favoarea întreprinderilor mici și mijlocii http://eur-lex.europa.eu/legal-content/RO/TX</w:t>
            </w:r>
            <w:r>
              <w:t xml:space="preserve">T/?uri=OJ:L:2014:271:TOC     </w:t>
            </w:r>
          </w:p>
        </w:tc>
        <w:tc>
          <w:tcPr>
            <w:tcW w:w="1139" w:type="pct"/>
          </w:tcPr>
          <w:p w:rsidR="00227504" w:rsidRPr="00E9348A" w:rsidRDefault="00F9213F" w:rsidP="00717F20">
            <w:pPr>
              <w:rPr>
                <w:sz w:val="20"/>
                <w:szCs w:val="20"/>
              </w:rPr>
            </w:pP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G.7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rezultat necesari pentru selectarea acțiunilor care contribuie în </w:t>
            </w:r>
            <w:r w:rsidRPr="00E9348A">
              <w:rPr>
                <w:sz w:val="20"/>
                <w:szCs w:val="20"/>
              </w:rPr>
              <w:t>modul cel mai eficient la obținerea rezultatelor dorite, monitorizarea progreselor înregistrate în obținerea rezultatelor și efectuarea evaluării impactului.</w:t>
            </w:r>
          </w:p>
        </w:tc>
        <w:tc>
          <w:tcPr>
            <w:tcW w:w="1162" w:type="pct"/>
          </w:tcPr>
          <w:p w:rsidR="00227504" w:rsidRPr="00DC028E" w:rsidRDefault="00F9213F" w:rsidP="00717F20">
            <w:pPr>
              <w:jc w:val="left"/>
              <w:rPr>
                <w:sz w:val="20"/>
              </w:rPr>
            </w:pPr>
            <w:r>
              <w:rPr>
                <w:sz w:val="20"/>
              </w:rPr>
              <w:t>2 - Existența unor măsuri privind colectarea și agregarea rapidă a datelor statistice, cu următoar</w:t>
            </w:r>
            <w:r>
              <w:rPr>
                <w:sz w:val="20"/>
              </w:rPr>
              <w:t>ele elemente: măsuri de publicare și de disponibilitate publică a datelor agregate.</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În concordanță cu Decizia de punere în aplicare a Comisiei din 11 septembrie 2014 privind modelul de acord de finanțare pentru contribuția din Fondul european de dezvolt</w:t>
            </w:r>
            <w:r>
              <w:t>are regională și din Fondul european agricol pentru dezvoltare rurală la instrumentele financiare de garantare neplafonată comună și de titlurizare în favoarea întreprinderilor mici și mijlocii http://eur-lex.europa.eu/legal-content/RO/TXT/?uri=OJ:L:2014:2</w:t>
            </w:r>
            <w:r>
              <w:t xml:space="preserve">71:TOC </w:t>
            </w:r>
          </w:p>
        </w:tc>
        <w:tc>
          <w:tcPr>
            <w:tcW w:w="1139" w:type="pct"/>
          </w:tcPr>
          <w:p w:rsidR="00227504" w:rsidRPr="00E9348A" w:rsidRDefault="00F9213F" w:rsidP="00717F20">
            <w:pPr>
              <w:rPr>
                <w:sz w:val="20"/>
                <w:szCs w:val="20"/>
              </w:rPr>
            </w:pP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G.7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w:t>
            </w:r>
            <w:r w:rsidRPr="00E9348A">
              <w:rPr>
                <w:sz w:val="20"/>
                <w:szCs w:val="20"/>
              </w:rPr>
              <w:lastRenderedPageBreak/>
              <w:t xml:space="preserve">rezultat necesari pentru selectarea acțiunilor care contribuie în modul cel mai eficient </w:t>
            </w:r>
            <w:r w:rsidRPr="00E9348A">
              <w:rPr>
                <w:sz w:val="20"/>
                <w:szCs w:val="20"/>
              </w:rPr>
              <w:t>la obținerea rezultatelor dorite, monitorizarea progreselor înregistrate în obținerea rezultatelor și efectuarea evaluării impactului.</w:t>
            </w:r>
          </w:p>
        </w:tc>
        <w:tc>
          <w:tcPr>
            <w:tcW w:w="1162" w:type="pct"/>
          </w:tcPr>
          <w:p w:rsidR="00227504" w:rsidRPr="00DC028E" w:rsidRDefault="00F9213F" w:rsidP="00717F20">
            <w:pPr>
              <w:jc w:val="left"/>
              <w:rPr>
                <w:sz w:val="20"/>
              </w:rPr>
            </w:pPr>
            <w:r>
              <w:rPr>
                <w:sz w:val="20"/>
              </w:rPr>
              <w:lastRenderedPageBreak/>
              <w:t>3 - Un sistem eficient de indicatori de rezultat care să includă: selectarea indicatorilor de rezultat pentru fiecare pro</w:t>
            </w:r>
            <w:r>
              <w:rPr>
                <w:sz w:val="20"/>
              </w:rPr>
              <w:t xml:space="preserve">gram care să ofere informații cu </w:t>
            </w:r>
            <w:r>
              <w:rPr>
                <w:sz w:val="20"/>
              </w:rPr>
              <w:lastRenderedPageBreak/>
              <w:t>privire la motivele pentru care au fost selectate acțiunile politice finanțate prin program.</w:t>
            </w:r>
          </w:p>
        </w:tc>
        <w:tc>
          <w:tcPr>
            <w:tcW w:w="429" w:type="pct"/>
          </w:tcPr>
          <w:p w:rsidR="00227504" w:rsidRPr="00DC028E" w:rsidRDefault="00F9213F" w:rsidP="00717F20">
            <w:pPr>
              <w:jc w:val="center"/>
              <w:rPr>
                <w:sz w:val="20"/>
              </w:rPr>
            </w:pPr>
            <w:r>
              <w:rPr>
                <w:sz w:val="20"/>
              </w:rPr>
              <w:lastRenderedPageBreak/>
              <w:t>Da</w:t>
            </w:r>
          </w:p>
        </w:tc>
        <w:tc>
          <w:tcPr>
            <w:tcW w:w="1146" w:type="pct"/>
          </w:tcPr>
          <w:p w:rsidR="00227504" w:rsidRPr="00E9348A" w:rsidRDefault="00F9213F" w:rsidP="00717F20">
            <w:pPr>
              <w:rPr>
                <w:sz w:val="20"/>
                <w:szCs w:val="20"/>
              </w:rPr>
            </w:pPr>
            <w:r>
              <w:t xml:space="preserve">În concordanță cu Decizia de punere în aplicare a Comisiei din 11 septembrie 2014 privind </w:t>
            </w:r>
            <w:r>
              <w:lastRenderedPageBreak/>
              <w:t xml:space="preserve">modelul de acord de finanțare pentru </w:t>
            </w:r>
            <w:r>
              <w:t>contribuția din Fondul european de dezvoltare regională și din Fondul european agricol pentru dezvoltare rurală la instrumentele financiare de garantare neplafonată comună și de titlurizare în favoarea întreprinderilor mici și mijlocii http://eur-lex.europ</w:t>
            </w:r>
            <w:r>
              <w:t xml:space="preserve">a.eu/legal-content/RO/TXT/?uri=OJ:L:2014:271:TOC </w:t>
            </w:r>
          </w:p>
        </w:tc>
        <w:tc>
          <w:tcPr>
            <w:tcW w:w="1139" w:type="pct"/>
          </w:tcPr>
          <w:p w:rsidR="00227504" w:rsidRPr="00E9348A" w:rsidRDefault="00F9213F" w:rsidP="00717F20">
            <w:pPr>
              <w:rPr>
                <w:sz w:val="20"/>
                <w:szCs w:val="20"/>
              </w:rPr>
            </w:pP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w:t>
            </w:r>
            <w:r w:rsidRPr="00E9348A">
              <w:rPr>
                <w:sz w:val="20"/>
                <w:szCs w:val="20"/>
              </w:rPr>
              <w:t>are contribuie în modul cel mai eficient la obținerea rezultatelor dorite, monitorizarea progreselor înregistrate în obținerea rezultatelor și efectuarea evaluării impactului.</w:t>
            </w:r>
          </w:p>
        </w:tc>
        <w:tc>
          <w:tcPr>
            <w:tcW w:w="1162" w:type="pct"/>
          </w:tcPr>
          <w:p w:rsidR="00227504" w:rsidRPr="00DC028E" w:rsidRDefault="00F9213F" w:rsidP="00717F20">
            <w:pPr>
              <w:jc w:val="left"/>
              <w:rPr>
                <w:sz w:val="20"/>
              </w:rPr>
            </w:pPr>
            <w:r>
              <w:rPr>
                <w:sz w:val="20"/>
              </w:rPr>
              <w:t xml:space="preserve">4 - Un sistem eficient de indicatori de rezultat care să includă: stabilirea de </w:t>
            </w:r>
            <w:r>
              <w:rPr>
                <w:sz w:val="20"/>
              </w:rPr>
              <w:t>ținte pentru acești indicatori.</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 xml:space="preserve">În concordanță cu Decizia de punere în aplicare a Comisiei din 11 septembrie 2014 privind modelul de acord de finanțare pentru contribuția din Fondul european de dezvoltare regională și din Fondul european agricol pentru </w:t>
            </w:r>
            <w:r>
              <w:t>dezvoltare rurală la instrumentele financiare de garantare neplafonată comună și de titlurizare în favoarea întreprinderilor mici și mijlocii http://eur-lex.europa.eu/legal-content/RO/TXT/?uri=OJ:L:201</w:t>
            </w:r>
            <w:r>
              <w:lastRenderedPageBreak/>
              <w:t xml:space="preserve">4:271:TOC </w:t>
            </w:r>
          </w:p>
        </w:tc>
        <w:tc>
          <w:tcPr>
            <w:tcW w:w="1139" w:type="pct"/>
          </w:tcPr>
          <w:p w:rsidR="00227504" w:rsidRPr="00E9348A" w:rsidRDefault="00F9213F" w:rsidP="00717F20">
            <w:pPr>
              <w:rPr>
                <w:sz w:val="20"/>
                <w:szCs w:val="20"/>
              </w:rPr>
            </w:pP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G.7 </w:t>
            </w:r>
            <w:r>
              <w:rPr>
                <w:sz w:val="20"/>
                <w:szCs w:val="20"/>
              </w:rPr>
              <w:t xml:space="preserve">-  </w:t>
            </w:r>
            <w:r w:rsidRPr="00E9348A">
              <w:rPr>
                <w:sz w:val="20"/>
                <w:szCs w:val="20"/>
              </w:rPr>
              <w:t xml:space="preserve">Existența unei baze statistice </w:t>
            </w:r>
            <w:r w:rsidRPr="00E9348A">
              <w:rPr>
                <w:sz w:val="20"/>
                <w:szCs w:val="20"/>
              </w:rPr>
              <w:t>necesare pentru a efectua evaluări ale eficacității și impactului programelor. Existența unui sistem de indicatori de rezultat necesari pentru selectarea acțiunilor care contribuie în modul cel mai eficient la obținerea rezultatelor dorite, monitorizarea p</w:t>
            </w:r>
            <w:r w:rsidRPr="00E9348A">
              <w:rPr>
                <w:sz w:val="20"/>
                <w:szCs w:val="20"/>
              </w:rPr>
              <w:t>rogreselor înregistrate în obținerea rezultatelor și efectuarea evaluării impactului.</w:t>
            </w:r>
          </w:p>
        </w:tc>
        <w:tc>
          <w:tcPr>
            <w:tcW w:w="1162" w:type="pct"/>
          </w:tcPr>
          <w:p w:rsidR="00227504" w:rsidRPr="00DC028E" w:rsidRDefault="00F9213F" w:rsidP="00717F20">
            <w:pPr>
              <w:jc w:val="left"/>
              <w:rPr>
                <w:sz w:val="20"/>
              </w:rPr>
            </w:pPr>
            <w:r>
              <w:rPr>
                <w:sz w:val="20"/>
              </w:rPr>
              <w:t>5 - Un sistem eficient de indicatori de rezultat care să includă: robustețea și validarea statistică, claritatea interpretării normative, capacitatea de reacție la politi</w:t>
            </w:r>
            <w:r>
              <w:rPr>
                <w:sz w:val="20"/>
              </w:rPr>
              <w:t>că, colectarea în timp util a datelor.</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 xml:space="preserve">În concordanță cu Decizia de punere în aplicare a Comisiei din 11 septembrie 2014 privind modelul de acord de finanțare pentru contribuția din Fondul european de dezvoltare regională și din Fondul european agricol </w:t>
            </w:r>
            <w:r>
              <w:t xml:space="preserve">pentru dezvoltare rurală la instrumentele financiare de garantare neplafonată comună și de titlurizare în favoarea întreprinderilor mici și mijlocii http://eur-lex.europa.eu/legal-content/RO/TXT/?uri=OJ:L:2014:271:TOC </w:t>
            </w:r>
          </w:p>
        </w:tc>
        <w:tc>
          <w:tcPr>
            <w:tcW w:w="1139" w:type="pct"/>
          </w:tcPr>
          <w:p w:rsidR="00227504" w:rsidRPr="00E9348A" w:rsidRDefault="00F9213F" w:rsidP="00717F20">
            <w:pPr>
              <w:rPr>
                <w:sz w:val="20"/>
                <w:szCs w:val="20"/>
              </w:rPr>
            </w:pPr>
          </w:p>
        </w:tc>
      </w:tr>
      <w:tr w:rsidR="00B31B05" w:rsidTr="00717F20">
        <w:trPr>
          <w:trHeight w:val="836"/>
        </w:trPr>
        <w:tc>
          <w:tcPr>
            <w:tcW w:w="1125" w:type="pct"/>
            <w:shd w:val="clear" w:color="auto" w:fill="auto"/>
          </w:tcPr>
          <w:p w:rsidR="00227504" w:rsidRPr="00E9348A" w:rsidRDefault="00F9213F" w:rsidP="00717F20">
            <w:pPr>
              <w:jc w:val="left"/>
              <w:rPr>
                <w:sz w:val="20"/>
                <w:szCs w:val="20"/>
              </w:rPr>
            </w:pPr>
            <w:r w:rsidRPr="00E9348A">
              <w:rPr>
                <w:sz w:val="20"/>
                <w:szCs w:val="20"/>
              </w:rPr>
              <w:t xml:space="preserve">G.7 </w:t>
            </w:r>
            <w:r>
              <w:rPr>
                <w:sz w:val="20"/>
                <w:szCs w:val="20"/>
              </w:rPr>
              <w:t xml:space="preserve">-  </w:t>
            </w:r>
            <w:r w:rsidRPr="00E9348A">
              <w:rPr>
                <w:sz w:val="20"/>
                <w:szCs w:val="20"/>
              </w:rPr>
              <w:t>Existența unei baze statisti</w:t>
            </w:r>
            <w:r w:rsidRPr="00E9348A">
              <w:rPr>
                <w:sz w:val="20"/>
                <w:szCs w:val="20"/>
              </w:rPr>
              <w:t>ce necesare pentru a efectua evaluări ale eficacității și impactului programelor. Existența unui sistem de indicatori de rezultat necesari pentru selectarea acțiunilor care contribuie în modul cel mai eficient la obținerea rezultatelor dorite, monitorizare</w:t>
            </w:r>
            <w:r w:rsidRPr="00E9348A">
              <w:rPr>
                <w:sz w:val="20"/>
                <w:szCs w:val="20"/>
              </w:rPr>
              <w:t>a progreselor înregistrate în obținerea rezultatelor și efectuarea evaluării impactului.</w:t>
            </w:r>
          </w:p>
        </w:tc>
        <w:tc>
          <w:tcPr>
            <w:tcW w:w="1162" w:type="pct"/>
          </w:tcPr>
          <w:p w:rsidR="00227504" w:rsidRPr="00DC028E" w:rsidRDefault="00F9213F" w:rsidP="00717F20">
            <w:pPr>
              <w:jc w:val="left"/>
              <w:rPr>
                <w:sz w:val="20"/>
              </w:rPr>
            </w:pPr>
            <w:r>
              <w:rPr>
                <w:sz w:val="20"/>
              </w:rPr>
              <w:t>6 - Proceduri pentru a se asigura că toate operațiunile finanțate prin program adoptă un sistem eficace de indicatori.</w:t>
            </w:r>
          </w:p>
        </w:tc>
        <w:tc>
          <w:tcPr>
            <w:tcW w:w="429" w:type="pct"/>
          </w:tcPr>
          <w:p w:rsidR="00227504" w:rsidRPr="00DC028E" w:rsidRDefault="00F9213F" w:rsidP="00717F20">
            <w:pPr>
              <w:jc w:val="center"/>
              <w:rPr>
                <w:sz w:val="20"/>
              </w:rPr>
            </w:pPr>
            <w:r>
              <w:rPr>
                <w:sz w:val="20"/>
              </w:rPr>
              <w:t>Da</w:t>
            </w:r>
          </w:p>
        </w:tc>
        <w:tc>
          <w:tcPr>
            <w:tcW w:w="1146" w:type="pct"/>
          </w:tcPr>
          <w:p w:rsidR="00227504" w:rsidRPr="00E9348A" w:rsidRDefault="00F9213F" w:rsidP="00717F20">
            <w:pPr>
              <w:rPr>
                <w:sz w:val="20"/>
                <w:szCs w:val="20"/>
              </w:rPr>
            </w:pPr>
            <w:r>
              <w:t>În concordanță cu Decizia de punere în aplica</w:t>
            </w:r>
            <w:r>
              <w:t xml:space="preserve">re a Comisiei din 11 septembrie 2014 privind modelul de acord de finanțare pentru contribuția din Fondul european de dezvoltare regională și din Fondul european agricol pentru dezvoltare rurală la </w:t>
            </w:r>
            <w:r>
              <w:lastRenderedPageBreak/>
              <w:t>instrumentele financiare de garantare neplafonată comună și</w:t>
            </w:r>
            <w:r>
              <w:t xml:space="preserve"> de titlurizare în favoarea întreprinderilor mici și mijlocii http://eur-lex.europa.eu/legal-content/RO/TXT/?uri=OJ:L:2014:271:TOC </w:t>
            </w:r>
          </w:p>
        </w:tc>
        <w:tc>
          <w:tcPr>
            <w:tcW w:w="1139" w:type="pct"/>
          </w:tcPr>
          <w:p w:rsidR="00227504" w:rsidRPr="00E9348A" w:rsidRDefault="00F9213F" w:rsidP="00717F20">
            <w:pPr>
              <w:rPr>
                <w:sz w:val="20"/>
                <w:szCs w:val="20"/>
              </w:rPr>
            </w:pPr>
          </w:p>
        </w:tc>
      </w:tr>
    </w:tbl>
    <w:p w:rsidR="009873FA" w:rsidRDefault="00F9213F" w:rsidP="00227504">
      <w:pPr>
        <w:sectPr w:rsidR="009873FA" w:rsidSect="00101182">
          <w:footerReference w:type="default" r:id="rId11"/>
          <w:pgSz w:w="16838" w:h="11906" w:orient="landscape"/>
          <w:pgMar w:top="1584" w:right="1022" w:bottom="1699" w:left="1022" w:header="709" w:footer="709" w:gutter="0"/>
          <w:cols w:space="708"/>
          <w:docGrid w:linePitch="360"/>
        </w:sectPr>
      </w:pPr>
    </w:p>
    <w:p w:rsidR="00227504" w:rsidRDefault="00F9213F" w:rsidP="00227504">
      <w:pPr>
        <w:pStyle w:val="Heading2"/>
        <w:numPr>
          <w:ilvl w:val="0"/>
          <w:numId w:val="0"/>
        </w:numPr>
        <w:ind w:left="850" w:hanging="850"/>
      </w:pPr>
      <w:r>
        <w:lastRenderedPageBreak/>
        <w:t>9.2 Descrierea</w:t>
      </w:r>
      <w:r>
        <w:t xml:space="preserve"> acțiunilor pentru îndeplinirea condiționalităților ex ante, organisme responsabile și calendar</w:t>
      </w:r>
    </w:p>
    <w:p w:rsidR="00227504" w:rsidRPr="005367FC" w:rsidRDefault="00F9213F" w:rsidP="00686742">
      <w:pPr>
        <w:pStyle w:val="Text1"/>
        <w:ind w:left="0"/>
      </w:pPr>
    </w:p>
    <w:p w:rsidR="00227504" w:rsidRPr="00F221CE" w:rsidRDefault="00F9213F" w:rsidP="00E90768">
      <w:pPr>
        <w:keepNext/>
        <w:rPr>
          <w:b/>
        </w:rPr>
      </w:pPr>
      <w:r>
        <w:rPr>
          <w:b/>
        </w:rPr>
        <w:t>Tabelul 25: Acțiunile pentru îndeplinirea condiționalităților 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40"/>
        <w:gridCol w:w="4152"/>
        <w:gridCol w:w="2223"/>
        <w:gridCol w:w="2566"/>
      </w:tblGrid>
      <w:tr w:rsidR="00B31B05" w:rsidTr="00320D73">
        <w:trPr>
          <w:trHeight w:val="493"/>
          <w:tblHeader/>
        </w:trPr>
        <w:tc>
          <w:tcPr>
            <w:tcW w:w="1047" w:type="pct"/>
            <w:shd w:val="clear" w:color="auto" w:fill="auto"/>
          </w:tcPr>
          <w:p w:rsidR="00227504" w:rsidRPr="009A634A" w:rsidRDefault="00F9213F" w:rsidP="00717F20">
            <w:pPr>
              <w:snapToGrid w:val="0"/>
              <w:jc w:val="center"/>
              <w:rPr>
                <w:b/>
                <w:sz w:val="16"/>
                <w:szCs w:val="16"/>
              </w:rPr>
            </w:pPr>
            <w:r w:rsidRPr="009A634A">
              <w:rPr>
                <w:b/>
                <w:sz w:val="16"/>
                <w:szCs w:val="16"/>
              </w:rPr>
              <w:t>Condiționalitate ex-ante generală</w:t>
            </w:r>
          </w:p>
        </w:tc>
        <w:tc>
          <w:tcPr>
            <w:tcW w:w="953" w:type="pct"/>
          </w:tcPr>
          <w:p w:rsidR="00227504" w:rsidRPr="009A634A" w:rsidRDefault="00F9213F" w:rsidP="00717F20">
            <w:pPr>
              <w:snapToGrid w:val="0"/>
              <w:jc w:val="center"/>
              <w:rPr>
                <w:b/>
                <w:sz w:val="16"/>
                <w:szCs w:val="16"/>
              </w:rPr>
            </w:pPr>
            <w:r w:rsidRPr="009A634A">
              <w:rPr>
                <w:b/>
                <w:sz w:val="16"/>
                <w:szCs w:val="16"/>
              </w:rPr>
              <w:t>Criteriile neîndeplinite</w:t>
            </w:r>
          </w:p>
        </w:tc>
        <w:tc>
          <w:tcPr>
            <w:tcW w:w="1393" w:type="pct"/>
            <w:shd w:val="clear" w:color="auto" w:fill="auto"/>
          </w:tcPr>
          <w:p w:rsidR="00227504" w:rsidRPr="009A634A" w:rsidRDefault="00F9213F" w:rsidP="00717F20">
            <w:pPr>
              <w:snapToGrid w:val="0"/>
              <w:jc w:val="center"/>
              <w:rPr>
                <w:b/>
                <w:sz w:val="16"/>
                <w:szCs w:val="16"/>
              </w:rPr>
            </w:pPr>
            <w:r w:rsidRPr="009A634A">
              <w:rPr>
                <w:b/>
                <w:sz w:val="16"/>
                <w:szCs w:val="16"/>
              </w:rPr>
              <w:t xml:space="preserve">Acțiunile </w:t>
            </w:r>
            <w:r w:rsidRPr="009A634A">
              <w:rPr>
                <w:b/>
                <w:sz w:val="16"/>
                <w:szCs w:val="16"/>
              </w:rPr>
              <w:t>care urmează să fie întreprinse</w:t>
            </w:r>
          </w:p>
        </w:tc>
        <w:tc>
          <w:tcPr>
            <w:tcW w:w="746" w:type="pct"/>
            <w:shd w:val="clear" w:color="auto" w:fill="auto"/>
          </w:tcPr>
          <w:p w:rsidR="00227504" w:rsidRPr="009A634A" w:rsidRDefault="00F9213F" w:rsidP="00717F20">
            <w:pPr>
              <w:snapToGrid w:val="0"/>
              <w:jc w:val="center"/>
              <w:rPr>
                <w:b/>
                <w:sz w:val="16"/>
                <w:szCs w:val="16"/>
              </w:rPr>
            </w:pPr>
            <w:r w:rsidRPr="009A634A">
              <w:rPr>
                <w:b/>
                <w:sz w:val="16"/>
                <w:szCs w:val="16"/>
              </w:rPr>
              <w:t>Termenul-limită (data)</w:t>
            </w:r>
          </w:p>
        </w:tc>
        <w:tc>
          <w:tcPr>
            <w:tcW w:w="861" w:type="pct"/>
          </w:tcPr>
          <w:p w:rsidR="00227504" w:rsidRPr="009A634A" w:rsidRDefault="00F9213F" w:rsidP="00717F20">
            <w:pPr>
              <w:snapToGrid w:val="0"/>
              <w:jc w:val="center"/>
              <w:rPr>
                <w:b/>
                <w:sz w:val="16"/>
                <w:szCs w:val="16"/>
              </w:rPr>
            </w:pPr>
            <w:r w:rsidRPr="009A634A">
              <w:rPr>
                <w:b/>
                <w:sz w:val="16"/>
                <w:szCs w:val="16"/>
              </w:rPr>
              <w:t>Organisme responsabile</w:t>
            </w:r>
          </w:p>
        </w:tc>
      </w:tr>
      <w:tr w:rsidR="00B31B05" w:rsidTr="00320D73">
        <w:trPr>
          <w:trHeight w:val="493"/>
        </w:trPr>
        <w:tc>
          <w:tcPr>
            <w:tcW w:w="1047" w:type="pct"/>
            <w:shd w:val="clear" w:color="auto" w:fill="auto"/>
          </w:tcPr>
          <w:p w:rsidR="00227504" w:rsidRPr="00635488" w:rsidRDefault="00F9213F" w:rsidP="00717F20">
            <w:pPr>
              <w:jc w:val="left"/>
              <w:rPr>
                <w:sz w:val="16"/>
                <w:szCs w:val="16"/>
              </w:rPr>
            </w:pPr>
            <w:r w:rsidRPr="00635488">
              <w:rPr>
                <w:sz w:val="16"/>
                <w:szCs w:val="16"/>
              </w:rPr>
              <w:t>G.5 - Existența unor măsuri de aplicare eficace a normelor Uniunii din domeniul ajutoarelor de stat în ceea ce privește fondurile ESI.</w:t>
            </w:r>
          </w:p>
        </w:tc>
        <w:tc>
          <w:tcPr>
            <w:tcW w:w="953" w:type="pct"/>
          </w:tcPr>
          <w:p w:rsidR="00227504" w:rsidRPr="00635488" w:rsidRDefault="00F9213F" w:rsidP="00717F20">
            <w:pPr>
              <w:jc w:val="left"/>
              <w:rPr>
                <w:sz w:val="16"/>
                <w:szCs w:val="16"/>
              </w:rPr>
            </w:pPr>
            <w:r w:rsidRPr="00635488">
              <w:rPr>
                <w:sz w:val="16"/>
                <w:szCs w:val="16"/>
              </w:rPr>
              <w:t>1 - Măsuri referitoare la aplicarea eficac</w:t>
            </w:r>
            <w:r w:rsidRPr="00635488">
              <w:rPr>
                <w:sz w:val="16"/>
                <w:szCs w:val="16"/>
              </w:rPr>
              <w:t>e a normelor Uniunii privind ajutoarele de stat.</w:t>
            </w:r>
          </w:p>
        </w:tc>
        <w:tc>
          <w:tcPr>
            <w:tcW w:w="1393" w:type="pct"/>
            <w:shd w:val="clear" w:color="auto" w:fill="auto"/>
          </w:tcPr>
          <w:p w:rsidR="00227504" w:rsidRPr="00635488" w:rsidRDefault="00F9213F" w:rsidP="00717F20">
            <w:pPr>
              <w:jc w:val="left"/>
              <w:rPr>
                <w:sz w:val="16"/>
                <w:szCs w:val="16"/>
              </w:rPr>
            </w:pPr>
            <w:r w:rsidRPr="00635488">
              <w:rPr>
                <w:sz w:val="16"/>
                <w:szCs w:val="16"/>
              </w:rPr>
              <w:t>Elaborarea  unei baze de date care permite verificarea ex ante a eligibilităţii beneficiarilor pentru acordarea ajutoarelor de stat/ajutoarelor de minimis, constând în:</w:t>
            </w:r>
          </w:p>
          <w:p w:rsidR="00227504" w:rsidRPr="00635488" w:rsidRDefault="00F9213F" w:rsidP="00717F20">
            <w:pPr>
              <w:jc w:val="left"/>
              <w:rPr>
                <w:sz w:val="16"/>
                <w:szCs w:val="16"/>
              </w:rPr>
            </w:pPr>
            <w:r w:rsidRPr="00635488">
              <w:rPr>
                <w:sz w:val="16"/>
                <w:szCs w:val="16"/>
              </w:rPr>
              <w:t>-</w:t>
            </w:r>
            <w:r w:rsidRPr="00635488">
              <w:rPr>
                <w:sz w:val="16"/>
                <w:szCs w:val="16"/>
              </w:rPr>
              <w:tab/>
              <w:t>Încheiere Protocol de cooperare într</w:t>
            </w:r>
            <w:r w:rsidRPr="00635488">
              <w:rPr>
                <w:sz w:val="16"/>
                <w:szCs w:val="16"/>
              </w:rPr>
              <w:t xml:space="preserve">e Consiliul Concurenței, Ministerul Fondurilor Europene și Serviciul de Telecomunicații Speciale pentru crearea, utilizarea și dezvoltarea/modificarea ulterioară a bazei de date (inclusiv modificarea legislaţiei naţionale privind ajutorul de stat). </w:t>
            </w:r>
          </w:p>
          <w:p w:rsidR="00227504" w:rsidRPr="00635488" w:rsidRDefault="00F9213F" w:rsidP="00717F20">
            <w:pPr>
              <w:jc w:val="left"/>
              <w:rPr>
                <w:sz w:val="16"/>
                <w:szCs w:val="16"/>
              </w:rPr>
            </w:pPr>
            <w:r w:rsidRPr="00635488">
              <w:rPr>
                <w:sz w:val="16"/>
                <w:szCs w:val="16"/>
              </w:rPr>
              <w:t>-</w:t>
            </w:r>
            <w:r w:rsidRPr="00635488">
              <w:rPr>
                <w:sz w:val="16"/>
                <w:szCs w:val="16"/>
              </w:rPr>
              <w:tab/>
              <w:t>Proc</w:t>
            </w:r>
            <w:r w:rsidRPr="00635488">
              <w:rPr>
                <w:sz w:val="16"/>
                <w:szCs w:val="16"/>
              </w:rPr>
              <w:t>edura de achiziție de echipament și licențe informatice</w:t>
            </w:r>
          </w:p>
          <w:p w:rsidR="00227504" w:rsidRPr="00635488" w:rsidRDefault="00F9213F" w:rsidP="00717F20">
            <w:pPr>
              <w:jc w:val="left"/>
              <w:rPr>
                <w:sz w:val="16"/>
                <w:szCs w:val="16"/>
              </w:rPr>
            </w:pPr>
            <w:r w:rsidRPr="00635488">
              <w:rPr>
                <w:sz w:val="16"/>
                <w:szCs w:val="16"/>
              </w:rPr>
              <w:t>-</w:t>
            </w:r>
            <w:r w:rsidRPr="00635488">
              <w:rPr>
                <w:sz w:val="16"/>
                <w:szCs w:val="16"/>
              </w:rPr>
              <w:tab/>
              <w:t>Achiziționarea echipamentului.</w:t>
            </w:r>
          </w:p>
          <w:p w:rsidR="00227504" w:rsidRPr="00635488" w:rsidRDefault="00F9213F" w:rsidP="00717F20">
            <w:pPr>
              <w:jc w:val="left"/>
              <w:rPr>
                <w:sz w:val="16"/>
                <w:szCs w:val="16"/>
              </w:rPr>
            </w:pPr>
            <w:r w:rsidRPr="00635488">
              <w:rPr>
                <w:sz w:val="16"/>
                <w:szCs w:val="16"/>
              </w:rPr>
              <w:t>-</w:t>
            </w:r>
            <w:r w:rsidRPr="00635488">
              <w:rPr>
                <w:sz w:val="16"/>
                <w:szCs w:val="16"/>
              </w:rPr>
              <w:tab/>
              <w:t>Încărcarea datelor din SMIS ca parte a etapei de testare</w:t>
            </w:r>
          </w:p>
          <w:p w:rsidR="00227504" w:rsidRPr="00635488" w:rsidRDefault="00F9213F" w:rsidP="00717F20">
            <w:pPr>
              <w:jc w:val="left"/>
              <w:rPr>
                <w:sz w:val="16"/>
                <w:szCs w:val="16"/>
              </w:rPr>
            </w:pPr>
            <w:r w:rsidRPr="00635488">
              <w:rPr>
                <w:sz w:val="16"/>
                <w:szCs w:val="16"/>
              </w:rPr>
              <w:t>-</w:t>
            </w:r>
            <w:r w:rsidRPr="00635488">
              <w:rPr>
                <w:sz w:val="16"/>
                <w:szCs w:val="16"/>
              </w:rPr>
              <w:tab/>
              <w:t>Actualizarea bazei de date în timp real (inclusiv importul de date din SMIS în timp real).</w:t>
            </w:r>
          </w:p>
          <w:p w:rsidR="00227504" w:rsidRPr="00635488" w:rsidRDefault="00F9213F" w:rsidP="00717F20">
            <w:pPr>
              <w:jc w:val="left"/>
              <w:rPr>
                <w:sz w:val="16"/>
                <w:szCs w:val="16"/>
              </w:rPr>
            </w:pPr>
            <w:r w:rsidRPr="00635488">
              <w:rPr>
                <w:sz w:val="16"/>
                <w:szCs w:val="16"/>
              </w:rPr>
              <w:t>-</w:t>
            </w:r>
            <w:r w:rsidRPr="00635488">
              <w:rPr>
                <w:sz w:val="16"/>
                <w:szCs w:val="16"/>
              </w:rPr>
              <w:tab/>
              <w:t xml:space="preserve">Modificarea </w:t>
            </w:r>
            <w:r w:rsidRPr="00635488">
              <w:rPr>
                <w:sz w:val="16"/>
                <w:szCs w:val="16"/>
              </w:rPr>
              <w:t>legislației naționale privind ajutorul de stat pentru a introduce obligația ca inițiatorii/concedenții ajutorului de stat să folosească baza de date.</w:t>
            </w:r>
          </w:p>
          <w:p w:rsidR="00227504" w:rsidRPr="00635488" w:rsidRDefault="00F9213F" w:rsidP="00717F20">
            <w:pPr>
              <w:jc w:val="left"/>
              <w:rPr>
                <w:sz w:val="16"/>
                <w:szCs w:val="16"/>
              </w:rPr>
            </w:pPr>
          </w:p>
        </w:tc>
        <w:tc>
          <w:tcPr>
            <w:tcW w:w="746" w:type="pct"/>
            <w:shd w:val="clear" w:color="auto" w:fill="auto"/>
          </w:tcPr>
          <w:p w:rsidR="00227504" w:rsidRPr="00635488" w:rsidRDefault="00F9213F" w:rsidP="00717F20">
            <w:pPr>
              <w:jc w:val="center"/>
              <w:rPr>
                <w:sz w:val="16"/>
                <w:szCs w:val="16"/>
              </w:rPr>
            </w:pPr>
            <w:r w:rsidRPr="00635488">
              <w:rPr>
                <w:sz w:val="16"/>
                <w:szCs w:val="16"/>
              </w:rPr>
              <w:t>31.12.2015</w:t>
            </w:r>
          </w:p>
        </w:tc>
        <w:tc>
          <w:tcPr>
            <w:tcW w:w="861" w:type="pct"/>
          </w:tcPr>
          <w:p w:rsidR="00227504" w:rsidRPr="00635488" w:rsidRDefault="00F9213F" w:rsidP="00717F20">
            <w:pPr>
              <w:jc w:val="left"/>
              <w:rPr>
                <w:sz w:val="16"/>
                <w:szCs w:val="16"/>
              </w:rPr>
            </w:pPr>
            <w:r w:rsidRPr="00635488">
              <w:rPr>
                <w:sz w:val="16"/>
                <w:szCs w:val="16"/>
              </w:rPr>
              <w:t>Consiliul Concurentei</w:t>
            </w:r>
          </w:p>
        </w:tc>
      </w:tr>
    </w:tbl>
    <w:p w:rsidR="00227504" w:rsidRPr="00DC028E" w:rsidRDefault="00F9213F" w:rsidP="00227504">
      <w:pPr>
        <w:rPr>
          <w:b/>
        </w:rPr>
      </w:pPr>
    </w:p>
    <w:p w:rsidR="00227504" w:rsidRDefault="00F9213F" w:rsidP="00E90768">
      <w:pPr>
        <w:keepNext/>
        <w:rPr>
          <w:b/>
        </w:rPr>
      </w:pPr>
      <w:r>
        <w:rPr>
          <w:b/>
        </w:rPr>
        <w:t xml:space="preserve">Tabelul 26: Acțiunile pentru îndeplinirea condiționalităților ex-ante </w:t>
      </w:r>
      <w:r>
        <w:rPr>
          <w:b/>
        </w:rPr>
        <w:t>tematice aplicabile</w:t>
      </w:r>
      <w:r w:rsidRPr="00DC028E">
        <w:rPr>
          <w:b/>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2836"/>
        <w:gridCol w:w="4155"/>
        <w:gridCol w:w="2223"/>
        <w:gridCol w:w="2548"/>
      </w:tblGrid>
      <w:tr w:rsidR="00B31B05" w:rsidTr="00320D73">
        <w:trPr>
          <w:trHeight w:val="493"/>
          <w:tblHeader/>
        </w:trPr>
        <w:tc>
          <w:tcPr>
            <w:tcW w:w="1048" w:type="pct"/>
            <w:shd w:val="clear" w:color="auto" w:fill="auto"/>
          </w:tcPr>
          <w:p w:rsidR="00227504" w:rsidRPr="009A634A" w:rsidRDefault="00F9213F" w:rsidP="00717F20">
            <w:pPr>
              <w:snapToGrid w:val="0"/>
              <w:jc w:val="center"/>
              <w:rPr>
                <w:b/>
                <w:sz w:val="16"/>
                <w:szCs w:val="16"/>
              </w:rPr>
            </w:pPr>
            <w:r w:rsidRPr="009A634A">
              <w:rPr>
                <w:b/>
                <w:sz w:val="16"/>
                <w:szCs w:val="16"/>
              </w:rPr>
              <w:t>Condiționalitate ex-ante tematică</w:t>
            </w:r>
          </w:p>
        </w:tc>
        <w:tc>
          <w:tcPr>
            <w:tcW w:w="953" w:type="pct"/>
          </w:tcPr>
          <w:p w:rsidR="00227504" w:rsidRPr="009A634A" w:rsidRDefault="00F9213F" w:rsidP="00717F20">
            <w:pPr>
              <w:snapToGrid w:val="0"/>
              <w:jc w:val="center"/>
              <w:rPr>
                <w:b/>
                <w:sz w:val="16"/>
                <w:szCs w:val="16"/>
              </w:rPr>
            </w:pPr>
            <w:r w:rsidRPr="009A634A">
              <w:rPr>
                <w:b/>
                <w:sz w:val="16"/>
                <w:szCs w:val="16"/>
              </w:rPr>
              <w:t>Criteriile neîndeplinite</w:t>
            </w:r>
          </w:p>
        </w:tc>
        <w:tc>
          <w:tcPr>
            <w:tcW w:w="1396" w:type="pct"/>
            <w:shd w:val="clear" w:color="auto" w:fill="auto"/>
          </w:tcPr>
          <w:p w:rsidR="00227504" w:rsidRPr="009A634A" w:rsidRDefault="00F9213F" w:rsidP="00717F20">
            <w:pPr>
              <w:snapToGrid w:val="0"/>
              <w:jc w:val="center"/>
              <w:rPr>
                <w:b/>
                <w:sz w:val="16"/>
                <w:szCs w:val="16"/>
              </w:rPr>
            </w:pPr>
            <w:r w:rsidRPr="009A634A">
              <w:rPr>
                <w:b/>
                <w:sz w:val="16"/>
                <w:szCs w:val="16"/>
              </w:rPr>
              <w:t>Acțiunile care urmează să fie întreprinse</w:t>
            </w:r>
          </w:p>
        </w:tc>
        <w:tc>
          <w:tcPr>
            <w:tcW w:w="747" w:type="pct"/>
            <w:shd w:val="clear" w:color="auto" w:fill="auto"/>
          </w:tcPr>
          <w:p w:rsidR="00227504" w:rsidRPr="009A634A" w:rsidRDefault="00F9213F" w:rsidP="00717F20">
            <w:pPr>
              <w:snapToGrid w:val="0"/>
              <w:jc w:val="center"/>
              <w:rPr>
                <w:b/>
                <w:sz w:val="16"/>
                <w:szCs w:val="16"/>
              </w:rPr>
            </w:pPr>
            <w:r w:rsidRPr="009A634A">
              <w:rPr>
                <w:b/>
                <w:sz w:val="16"/>
                <w:szCs w:val="16"/>
              </w:rPr>
              <w:t>Termenul-limită (data)</w:t>
            </w:r>
          </w:p>
        </w:tc>
        <w:tc>
          <w:tcPr>
            <w:tcW w:w="856" w:type="pct"/>
          </w:tcPr>
          <w:p w:rsidR="00227504" w:rsidRPr="009A634A" w:rsidRDefault="00F9213F" w:rsidP="00717F20">
            <w:pPr>
              <w:snapToGrid w:val="0"/>
              <w:jc w:val="center"/>
              <w:rPr>
                <w:b/>
                <w:sz w:val="16"/>
                <w:szCs w:val="16"/>
              </w:rPr>
            </w:pPr>
            <w:r w:rsidRPr="009A634A">
              <w:rPr>
                <w:b/>
                <w:sz w:val="16"/>
                <w:szCs w:val="16"/>
              </w:rPr>
              <w:t>Organisme responsabile</w:t>
            </w:r>
          </w:p>
        </w:tc>
      </w:tr>
    </w:tbl>
    <w:p w:rsidR="006F0793" w:rsidRDefault="00F9213F" w:rsidP="009A634A"/>
    <w:p w:rsidR="00433D00" w:rsidRPr="00227504" w:rsidRDefault="00F9213F" w:rsidP="006F0793">
      <w:pPr>
        <w:sectPr w:rsidR="00433D00" w:rsidRPr="00227504" w:rsidSect="00A23E9C">
          <w:pgSz w:w="16838" w:h="11906" w:orient="landscape"/>
          <w:pgMar w:top="1584" w:right="1022" w:bottom="1699" w:left="1022" w:header="709" w:footer="709" w:gutter="0"/>
          <w:cols w:space="708"/>
          <w:docGrid w:linePitch="360"/>
        </w:sectPr>
      </w:pPr>
      <w:r>
        <w:br w:type="page"/>
      </w:r>
    </w:p>
    <w:p w:rsidR="000E4094" w:rsidRDefault="00F9213F"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B31B05" w:rsidTr="00361EE4">
        <w:trPr>
          <w:trHeight w:val="503"/>
          <w:tblHeader/>
        </w:trPr>
        <w:tc>
          <w:tcPr>
            <w:tcW w:w="2160" w:type="dxa"/>
            <w:shd w:val="clear" w:color="auto" w:fill="auto"/>
            <w:vAlign w:val="center"/>
          </w:tcPr>
          <w:p w:rsidR="000E4094" w:rsidRPr="00C40F08" w:rsidRDefault="00F9213F"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F9213F"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F9213F" w:rsidP="00BC6966">
            <w:pPr>
              <w:pStyle w:val="NormalCentered"/>
              <w:rPr>
                <w:b/>
                <w:sz w:val="16"/>
                <w:szCs w:val="16"/>
              </w:rPr>
            </w:pPr>
            <w:r>
              <w:rPr>
                <w:b/>
                <w:sz w:val="16"/>
                <w:szCs w:val="16"/>
              </w:rPr>
              <w:t xml:space="preserve">Data </w:t>
            </w:r>
            <w:r>
              <w:rPr>
                <w:b/>
                <w:sz w:val="16"/>
                <w:szCs w:val="16"/>
              </w:rPr>
              <w:t>documentului</w:t>
            </w:r>
          </w:p>
        </w:tc>
        <w:tc>
          <w:tcPr>
            <w:tcW w:w="1134" w:type="dxa"/>
            <w:shd w:val="clear" w:color="auto" w:fill="auto"/>
            <w:vAlign w:val="center"/>
          </w:tcPr>
          <w:p w:rsidR="000E4094" w:rsidRPr="00C40F08" w:rsidRDefault="00F9213F"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F9213F"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F9213F"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F9213F" w:rsidP="00BC6966">
            <w:pPr>
              <w:pStyle w:val="NormalCentered"/>
              <w:rPr>
                <w:b/>
                <w:sz w:val="16"/>
                <w:szCs w:val="16"/>
              </w:rPr>
            </w:pPr>
            <w:r>
              <w:rPr>
                <w:b/>
                <w:sz w:val="16"/>
                <w:szCs w:val="16"/>
              </w:rPr>
              <w:t>Data trimiterii</w:t>
            </w:r>
          </w:p>
        </w:tc>
        <w:tc>
          <w:tcPr>
            <w:tcW w:w="1104" w:type="dxa"/>
            <w:shd w:val="clear" w:color="auto" w:fill="auto"/>
            <w:vAlign w:val="center"/>
          </w:tcPr>
          <w:p w:rsidR="000E4094" w:rsidRPr="00C40F08" w:rsidRDefault="00F9213F" w:rsidP="00AB7874">
            <w:pPr>
              <w:pStyle w:val="NormalCentered"/>
              <w:rPr>
                <w:b/>
                <w:sz w:val="16"/>
                <w:szCs w:val="16"/>
              </w:rPr>
            </w:pPr>
            <w:r>
              <w:rPr>
                <w:b/>
                <w:sz w:val="16"/>
                <w:szCs w:val="16"/>
              </w:rPr>
              <w:t>Trimis de</w:t>
            </w:r>
          </w:p>
        </w:tc>
      </w:tr>
      <w:tr w:rsidR="00B31B05" w:rsidTr="00361EE4">
        <w:trPr>
          <w:trHeight w:val="446"/>
        </w:trPr>
        <w:tc>
          <w:tcPr>
            <w:tcW w:w="2160" w:type="dxa"/>
            <w:shd w:val="clear" w:color="auto" w:fill="auto"/>
          </w:tcPr>
          <w:p w:rsidR="000E4094" w:rsidRPr="00E86267" w:rsidRDefault="00F9213F" w:rsidP="00AB7874">
            <w:pPr>
              <w:pStyle w:val="NormalLeft"/>
              <w:rPr>
                <w:sz w:val="16"/>
                <w:szCs w:val="16"/>
              </w:rPr>
            </w:pPr>
            <w:r w:rsidRPr="00E86267">
              <w:rPr>
                <w:sz w:val="16"/>
                <w:szCs w:val="16"/>
              </w:rPr>
              <w:t>Lista acronime POIIMM</w:t>
            </w:r>
          </w:p>
        </w:tc>
        <w:tc>
          <w:tcPr>
            <w:tcW w:w="2040" w:type="dxa"/>
            <w:shd w:val="clear" w:color="auto" w:fill="auto"/>
          </w:tcPr>
          <w:p w:rsidR="000E4094" w:rsidRPr="00E86267" w:rsidRDefault="00F9213F"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9213F" w:rsidP="00BC6966">
            <w:pPr>
              <w:pStyle w:val="NormalLeft"/>
              <w:jc w:val="center"/>
              <w:rPr>
                <w:sz w:val="16"/>
                <w:szCs w:val="16"/>
              </w:rPr>
            </w:pPr>
            <w:r w:rsidRPr="00E86267">
              <w:rPr>
                <w:sz w:val="16"/>
                <w:szCs w:val="16"/>
              </w:rPr>
              <w:t>07.01.2016</w:t>
            </w:r>
          </w:p>
        </w:tc>
        <w:tc>
          <w:tcPr>
            <w:tcW w:w="1134" w:type="dxa"/>
            <w:shd w:val="clear" w:color="auto" w:fill="auto"/>
          </w:tcPr>
          <w:p w:rsidR="000E4094" w:rsidRPr="00E86267" w:rsidRDefault="00F9213F" w:rsidP="00AB7874">
            <w:pPr>
              <w:pStyle w:val="NormalLeft"/>
              <w:rPr>
                <w:sz w:val="16"/>
                <w:szCs w:val="16"/>
              </w:rPr>
            </w:pPr>
          </w:p>
        </w:tc>
        <w:tc>
          <w:tcPr>
            <w:tcW w:w="1417" w:type="dxa"/>
            <w:shd w:val="clear" w:color="auto" w:fill="auto"/>
          </w:tcPr>
          <w:p w:rsidR="000E4094" w:rsidRPr="00E86267" w:rsidRDefault="00F9213F" w:rsidP="00AB7874">
            <w:pPr>
              <w:pStyle w:val="NormalLeft"/>
              <w:rPr>
                <w:sz w:val="16"/>
                <w:szCs w:val="16"/>
              </w:rPr>
            </w:pPr>
            <w:r w:rsidRPr="00E86267">
              <w:rPr>
                <w:sz w:val="16"/>
                <w:szCs w:val="16"/>
              </w:rPr>
              <w:t>Ares(2016)104733</w:t>
            </w:r>
          </w:p>
        </w:tc>
        <w:tc>
          <w:tcPr>
            <w:tcW w:w="4160" w:type="dxa"/>
            <w:shd w:val="clear" w:color="auto" w:fill="auto"/>
          </w:tcPr>
          <w:p w:rsidR="000E4094" w:rsidRPr="00E86267" w:rsidRDefault="00F9213F" w:rsidP="00AB7874">
            <w:pPr>
              <w:pStyle w:val="NormalLeft"/>
              <w:rPr>
                <w:sz w:val="16"/>
                <w:szCs w:val="16"/>
              </w:rPr>
            </w:pPr>
            <w:r w:rsidRPr="00E86267">
              <w:rPr>
                <w:sz w:val="16"/>
                <w:szCs w:val="16"/>
              </w:rPr>
              <w:t xml:space="preserve">Lista acronime POIIMM </w:t>
            </w:r>
          </w:p>
        </w:tc>
        <w:tc>
          <w:tcPr>
            <w:tcW w:w="1536" w:type="dxa"/>
            <w:shd w:val="clear" w:color="auto" w:fill="auto"/>
          </w:tcPr>
          <w:p w:rsidR="000E4094" w:rsidRPr="00E86267" w:rsidRDefault="00F9213F" w:rsidP="00BC6966">
            <w:pPr>
              <w:pStyle w:val="NormalLeft"/>
              <w:jc w:val="center"/>
              <w:rPr>
                <w:sz w:val="16"/>
                <w:szCs w:val="16"/>
              </w:rPr>
            </w:pPr>
            <w:r w:rsidRPr="00E86267">
              <w:rPr>
                <w:sz w:val="16"/>
                <w:szCs w:val="16"/>
              </w:rPr>
              <w:t>08.01.2016</w:t>
            </w:r>
          </w:p>
        </w:tc>
        <w:tc>
          <w:tcPr>
            <w:tcW w:w="1104" w:type="dxa"/>
            <w:shd w:val="clear" w:color="auto" w:fill="auto"/>
          </w:tcPr>
          <w:p w:rsidR="000E4094" w:rsidRPr="00E86267" w:rsidRDefault="00F9213F" w:rsidP="00AB7874">
            <w:pPr>
              <w:pStyle w:val="NormalLeft"/>
              <w:rPr>
                <w:sz w:val="16"/>
                <w:szCs w:val="16"/>
              </w:rPr>
            </w:pPr>
            <w:r w:rsidRPr="00E86267">
              <w:rPr>
                <w:sz w:val="16"/>
                <w:szCs w:val="16"/>
              </w:rPr>
              <w:t>nradluiz</w:t>
            </w:r>
          </w:p>
          <w:p w:rsidR="000E4094" w:rsidRPr="00E86267" w:rsidRDefault="00F9213F" w:rsidP="00AB7874">
            <w:pPr>
              <w:pStyle w:val="NormalLeft"/>
              <w:rPr>
                <w:sz w:val="16"/>
                <w:szCs w:val="16"/>
              </w:rPr>
            </w:pPr>
          </w:p>
        </w:tc>
      </w:tr>
    </w:tbl>
    <w:p w:rsidR="00F67828" w:rsidRDefault="00F9213F" w:rsidP="00F67828"/>
    <w:p w:rsidR="005A6477" w:rsidRDefault="00F9213F" w:rsidP="005A6477">
      <w:pPr>
        <w:pStyle w:val="ManualHeading2"/>
      </w:pPr>
      <w:r>
        <w:t xml:space="preserve">Anexele prezentate de către regulamentul de punere </w:t>
      </w:r>
      <w:r>
        <w:t>în aplicare al Comisiei de stabilire a modelului de 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B31B05" w:rsidTr="00432757">
        <w:trPr>
          <w:trHeight w:val="503"/>
          <w:tblHeader/>
        </w:trPr>
        <w:tc>
          <w:tcPr>
            <w:tcW w:w="2160" w:type="dxa"/>
            <w:shd w:val="clear" w:color="auto" w:fill="auto"/>
            <w:vAlign w:val="center"/>
          </w:tcPr>
          <w:p w:rsidR="00432757" w:rsidRPr="00C40F08" w:rsidRDefault="00F9213F"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F9213F" w:rsidP="00525A3B">
            <w:pPr>
              <w:pStyle w:val="NormalCentered"/>
              <w:rPr>
                <w:b/>
                <w:sz w:val="16"/>
                <w:szCs w:val="16"/>
              </w:rPr>
            </w:pPr>
            <w:r>
              <w:rPr>
                <w:b/>
                <w:sz w:val="16"/>
                <w:szCs w:val="16"/>
              </w:rPr>
              <w:t>Tipul documentului</w:t>
            </w:r>
          </w:p>
        </w:tc>
        <w:tc>
          <w:tcPr>
            <w:tcW w:w="1329" w:type="dxa"/>
            <w:vAlign w:val="center"/>
          </w:tcPr>
          <w:p w:rsidR="00432757" w:rsidRPr="00C40F08" w:rsidRDefault="00F9213F" w:rsidP="00525A3B">
            <w:pPr>
              <w:pStyle w:val="NormalCentered"/>
              <w:rPr>
                <w:b/>
                <w:sz w:val="16"/>
                <w:szCs w:val="16"/>
              </w:rPr>
            </w:pPr>
            <w:r>
              <w:rPr>
                <w:b/>
                <w:sz w:val="16"/>
                <w:szCs w:val="16"/>
              </w:rPr>
              <w:t>Versiunea programului</w:t>
            </w:r>
          </w:p>
        </w:tc>
        <w:tc>
          <w:tcPr>
            <w:tcW w:w="1329" w:type="dxa"/>
            <w:shd w:val="clear" w:color="auto" w:fill="auto"/>
            <w:vAlign w:val="center"/>
          </w:tcPr>
          <w:p w:rsidR="00432757" w:rsidRPr="00C40F08" w:rsidRDefault="00F9213F"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F9213F"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F9213F"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F9213F"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F9213F"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F9213F" w:rsidP="00525A3B">
            <w:pPr>
              <w:pStyle w:val="NormalCentered"/>
              <w:rPr>
                <w:b/>
                <w:sz w:val="16"/>
                <w:szCs w:val="16"/>
              </w:rPr>
            </w:pPr>
            <w:r>
              <w:rPr>
                <w:b/>
                <w:sz w:val="16"/>
                <w:szCs w:val="16"/>
              </w:rPr>
              <w:t>Trimis de</w:t>
            </w:r>
          </w:p>
        </w:tc>
      </w:tr>
      <w:tr w:rsidR="00B31B05" w:rsidTr="00432757">
        <w:trPr>
          <w:trHeight w:val="446"/>
        </w:trPr>
        <w:tc>
          <w:tcPr>
            <w:tcW w:w="2160" w:type="dxa"/>
            <w:shd w:val="clear" w:color="auto" w:fill="auto"/>
          </w:tcPr>
          <w:p w:rsidR="00432757" w:rsidRPr="00E86267" w:rsidRDefault="00F9213F" w:rsidP="00525A3B">
            <w:pPr>
              <w:pStyle w:val="NormalLeft"/>
              <w:rPr>
                <w:sz w:val="16"/>
                <w:szCs w:val="16"/>
              </w:rPr>
            </w:pPr>
            <w:r w:rsidRPr="00E86267">
              <w:rPr>
                <w:sz w:val="16"/>
                <w:szCs w:val="16"/>
              </w:rPr>
              <w:t xml:space="preserve">Programme Snapshot of data before send </w:t>
            </w:r>
            <w:r w:rsidRPr="00E86267">
              <w:rPr>
                <w:sz w:val="16"/>
                <w:szCs w:val="16"/>
              </w:rPr>
              <w:t>2015RO16RFSM001 1.0</w:t>
            </w:r>
          </w:p>
        </w:tc>
        <w:tc>
          <w:tcPr>
            <w:tcW w:w="2040" w:type="dxa"/>
            <w:shd w:val="clear" w:color="auto" w:fill="auto"/>
          </w:tcPr>
          <w:p w:rsidR="00432757" w:rsidRPr="00E86267" w:rsidRDefault="00F9213F" w:rsidP="00525A3B">
            <w:pPr>
              <w:pStyle w:val="NormalLeft"/>
              <w:rPr>
                <w:sz w:val="16"/>
                <w:szCs w:val="16"/>
              </w:rPr>
            </w:pPr>
            <w:r w:rsidRPr="00E86267">
              <w:rPr>
                <w:sz w:val="16"/>
                <w:szCs w:val="16"/>
              </w:rPr>
              <w:t>Prezentare succintă a datelor înainte de trimitere</w:t>
            </w:r>
          </w:p>
        </w:tc>
        <w:tc>
          <w:tcPr>
            <w:tcW w:w="1329" w:type="dxa"/>
          </w:tcPr>
          <w:p w:rsidR="00432757" w:rsidRPr="00E86267" w:rsidRDefault="00F9213F" w:rsidP="00525A3B">
            <w:pPr>
              <w:pStyle w:val="NormalLeft"/>
              <w:jc w:val="center"/>
              <w:rPr>
                <w:sz w:val="16"/>
                <w:szCs w:val="16"/>
              </w:rPr>
            </w:pPr>
            <w:r>
              <w:rPr>
                <w:sz w:val="16"/>
                <w:szCs w:val="16"/>
              </w:rPr>
              <w:t>1.0</w:t>
            </w:r>
          </w:p>
        </w:tc>
        <w:tc>
          <w:tcPr>
            <w:tcW w:w="1329" w:type="dxa"/>
            <w:shd w:val="clear" w:color="auto" w:fill="auto"/>
          </w:tcPr>
          <w:p w:rsidR="00432757" w:rsidRPr="00E86267" w:rsidRDefault="00F9213F" w:rsidP="00525A3B">
            <w:pPr>
              <w:pStyle w:val="NormalLeft"/>
              <w:jc w:val="center"/>
              <w:rPr>
                <w:sz w:val="16"/>
                <w:szCs w:val="16"/>
              </w:rPr>
            </w:pPr>
            <w:r w:rsidRPr="00E86267">
              <w:rPr>
                <w:sz w:val="16"/>
                <w:szCs w:val="16"/>
              </w:rPr>
              <w:t>08.01.2016</w:t>
            </w:r>
          </w:p>
        </w:tc>
        <w:tc>
          <w:tcPr>
            <w:tcW w:w="1134" w:type="dxa"/>
            <w:shd w:val="clear" w:color="auto" w:fill="auto"/>
          </w:tcPr>
          <w:p w:rsidR="00432757" w:rsidRPr="00E86267" w:rsidRDefault="00F9213F" w:rsidP="00525A3B">
            <w:pPr>
              <w:pStyle w:val="NormalLeft"/>
              <w:rPr>
                <w:sz w:val="16"/>
                <w:szCs w:val="16"/>
              </w:rPr>
            </w:pPr>
          </w:p>
        </w:tc>
        <w:tc>
          <w:tcPr>
            <w:tcW w:w="1488" w:type="dxa"/>
            <w:shd w:val="clear" w:color="auto" w:fill="auto"/>
          </w:tcPr>
          <w:p w:rsidR="00432757" w:rsidRPr="00E86267" w:rsidRDefault="00F9213F" w:rsidP="00525A3B">
            <w:pPr>
              <w:pStyle w:val="NormalLeft"/>
              <w:rPr>
                <w:sz w:val="16"/>
                <w:szCs w:val="16"/>
              </w:rPr>
            </w:pPr>
            <w:r w:rsidRPr="00E86267">
              <w:rPr>
                <w:sz w:val="16"/>
                <w:szCs w:val="16"/>
              </w:rPr>
              <w:t>Ares(2016)104733</w:t>
            </w:r>
          </w:p>
        </w:tc>
        <w:tc>
          <w:tcPr>
            <w:tcW w:w="2880" w:type="dxa"/>
            <w:shd w:val="clear" w:color="auto" w:fill="auto"/>
          </w:tcPr>
          <w:p w:rsidR="00432757" w:rsidRPr="00E86267" w:rsidRDefault="00F9213F" w:rsidP="00525A3B">
            <w:pPr>
              <w:pStyle w:val="NormalLeft"/>
              <w:rPr>
                <w:sz w:val="16"/>
                <w:szCs w:val="16"/>
              </w:rPr>
            </w:pPr>
            <w:r w:rsidRPr="00E86267">
              <w:rPr>
                <w:sz w:val="16"/>
                <w:szCs w:val="16"/>
              </w:rPr>
              <w:t xml:space="preserve">Programme Snapshot of data before send 2015RO16RFSM001 1.0 ro </w:t>
            </w:r>
          </w:p>
        </w:tc>
        <w:tc>
          <w:tcPr>
            <w:tcW w:w="1440" w:type="dxa"/>
            <w:shd w:val="clear" w:color="auto" w:fill="auto"/>
          </w:tcPr>
          <w:p w:rsidR="00432757" w:rsidRPr="00E86267" w:rsidRDefault="00F9213F" w:rsidP="00525A3B">
            <w:pPr>
              <w:pStyle w:val="NormalLeft"/>
              <w:jc w:val="center"/>
              <w:rPr>
                <w:sz w:val="16"/>
                <w:szCs w:val="16"/>
              </w:rPr>
            </w:pPr>
            <w:r w:rsidRPr="00E86267">
              <w:rPr>
                <w:sz w:val="16"/>
                <w:szCs w:val="16"/>
              </w:rPr>
              <w:t>08.01.2016</w:t>
            </w:r>
          </w:p>
        </w:tc>
        <w:tc>
          <w:tcPr>
            <w:tcW w:w="1080" w:type="dxa"/>
            <w:shd w:val="clear" w:color="auto" w:fill="auto"/>
          </w:tcPr>
          <w:p w:rsidR="00432757" w:rsidRPr="00E86267" w:rsidRDefault="00F9213F" w:rsidP="00525A3B">
            <w:pPr>
              <w:pStyle w:val="NormalLeft"/>
              <w:rPr>
                <w:sz w:val="16"/>
                <w:szCs w:val="16"/>
              </w:rPr>
            </w:pPr>
            <w:r w:rsidRPr="00E86267">
              <w:rPr>
                <w:sz w:val="16"/>
                <w:szCs w:val="16"/>
              </w:rPr>
              <w:t>nradluiz</w:t>
            </w:r>
          </w:p>
          <w:p w:rsidR="00432757" w:rsidRPr="00E86267" w:rsidRDefault="00F9213F" w:rsidP="00525A3B">
            <w:pPr>
              <w:pStyle w:val="NormalLeft"/>
              <w:rPr>
                <w:sz w:val="16"/>
                <w:szCs w:val="16"/>
              </w:rPr>
            </w:pPr>
          </w:p>
        </w:tc>
      </w:tr>
    </w:tbl>
    <w:p w:rsidR="00F14614" w:rsidRDefault="00F9213F" w:rsidP="00F308CE"/>
    <w:sectPr w:rsidR="00F14614" w:rsidSect="00D94F4C">
      <w:footerReference w:type="default" r:id="rId12"/>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3F" w:rsidRDefault="00F9213F">
      <w:pPr>
        <w:spacing w:before="0" w:after="0"/>
      </w:pPr>
      <w:r>
        <w:separator/>
      </w:r>
    </w:p>
  </w:endnote>
  <w:endnote w:type="continuationSeparator" w:id="0">
    <w:p w:rsidR="00F9213F" w:rsidRDefault="00F921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94" w:rsidRPr="0042051F" w:rsidRDefault="00F9213F" w:rsidP="006D3394">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C922A8">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p w:rsidR="006D3394" w:rsidRDefault="00F9213F" w:rsidP="007C3041">
    <w:pPr>
      <w:pStyle w:val="FooterLandscape"/>
      <w:rPr>
        <w:rFonts w:ascii="Arial" w:hAnsi="Arial" w:cs="Arial"/>
        <w:b/>
        <w:sz w:val="4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94" w:rsidRPr="007C3041" w:rsidRDefault="00F9213F" w:rsidP="006D3394">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C922A8">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p w:rsidR="00227504" w:rsidRPr="006D3394" w:rsidRDefault="00F9213F" w:rsidP="006D3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AC" w:rsidRPr="0042051F" w:rsidRDefault="00F9213F" w:rsidP="003E78AC">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C922A8">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p w:rsidR="003E78AC" w:rsidRDefault="00F9213F" w:rsidP="003E78AC">
    <w:pPr>
      <w:pStyle w:val="FooterLandscape"/>
      <w:rPr>
        <w:rFonts w:ascii="Arial" w:hAnsi="Arial" w:cs="Arial"/>
        <w:b/>
        <w:sz w:val="48"/>
      </w:rPr>
    </w:pPr>
  </w:p>
  <w:p w:rsidR="001C5F10" w:rsidRPr="006D3394" w:rsidRDefault="00F9213F" w:rsidP="006D33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51" w:rsidRPr="007C3041" w:rsidRDefault="00F9213F"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C922A8">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F9213F"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C922A8">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3F" w:rsidRDefault="00F9213F">
      <w:pPr>
        <w:spacing w:before="0" w:after="0"/>
      </w:pPr>
      <w:r>
        <w:separator/>
      </w:r>
    </w:p>
  </w:footnote>
  <w:footnote w:type="continuationSeparator" w:id="0">
    <w:p w:rsidR="00F9213F" w:rsidRDefault="00F921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1338A274">
      <w:start w:val="1"/>
      <w:numFmt w:val="decimal"/>
      <w:pStyle w:val="StyleHeading1Left0cm"/>
      <w:lvlText w:val="%1."/>
      <w:lvlJc w:val="left"/>
      <w:pPr>
        <w:ind w:left="360" w:hanging="360"/>
      </w:pPr>
    </w:lvl>
    <w:lvl w:ilvl="1" w:tplc="E67A52D6" w:tentative="1">
      <w:start w:val="1"/>
      <w:numFmt w:val="lowerLetter"/>
      <w:lvlText w:val="%2."/>
      <w:lvlJc w:val="left"/>
      <w:pPr>
        <w:ind w:left="1440" w:hanging="360"/>
      </w:pPr>
    </w:lvl>
    <w:lvl w:ilvl="2" w:tplc="3BB266EE" w:tentative="1">
      <w:start w:val="1"/>
      <w:numFmt w:val="lowerRoman"/>
      <w:lvlText w:val="%3."/>
      <w:lvlJc w:val="right"/>
      <w:pPr>
        <w:ind w:left="2160" w:hanging="180"/>
      </w:pPr>
    </w:lvl>
    <w:lvl w:ilvl="3" w:tplc="13608E6E" w:tentative="1">
      <w:start w:val="1"/>
      <w:numFmt w:val="decimal"/>
      <w:lvlText w:val="%4."/>
      <w:lvlJc w:val="left"/>
      <w:pPr>
        <w:ind w:left="2880" w:hanging="360"/>
      </w:pPr>
    </w:lvl>
    <w:lvl w:ilvl="4" w:tplc="79C052F2" w:tentative="1">
      <w:start w:val="1"/>
      <w:numFmt w:val="lowerLetter"/>
      <w:lvlText w:val="%5."/>
      <w:lvlJc w:val="left"/>
      <w:pPr>
        <w:ind w:left="3600" w:hanging="360"/>
      </w:pPr>
    </w:lvl>
    <w:lvl w:ilvl="5" w:tplc="968E37D2" w:tentative="1">
      <w:start w:val="1"/>
      <w:numFmt w:val="lowerRoman"/>
      <w:lvlText w:val="%6."/>
      <w:lvlJc w:val="right"/>
      <w:pPr>
        <w:ind w:left="4320" w:hanging="180"/>
      </w:pPr>
    </w:lvl>
    <w:lvl w:ilvl="6" w:tplc="EC18FDFC" w:tentative="1">
      <w:start w:val="1"/>
      <w:numFmt w:val="decimal"/>
      <w:lvlText w:val="%7."/>
      <w:lvlJc w:val="left"/>
      <w:pPr>
        <w:ind w:left="5040" w:hanging="360"/>
      </w:pPr>
    </w:lvl>
    <w:lvl w:ilvl="7" w:tplc="7A16422A" w:tentative="1">
      <w:start w:val="1"/>
      <w:numFmt w:val="lowerLetter"/>
      <w:lvlText w:val="%8."/>
      <w:lvlJc w:val="left"/>
      <w:pPr>
        <w:ind w:left="5760" w:hanging="360"/>
      </w:pPr>
    </w:lvl>
    <w:lvl w:ilvl="8" w:tplc="9D68122C"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2DFA18F7"/>
    <w:multiLevelType w:val="hybridMultilevel"/>
    <w:tmpl w:val="31980370"/>
    <w:lvl w:ilvl="0" w:tplc="9C8889F0">
      <w:start w:val="1"/>
      <w:numFmt w:val="bullet"/>
      <w:lvlText w:val=""/>
      <w:lvlJc w:val="left"/>
      <w:pPr>
        <w:ind w:left="720" w:hanging="360"/>
      </w:pPr>
      <w:rPr>
        <w:rFonts w:ascii="Symbol" w:hAnsi="Symbol" w:hint="default"/>
      </w:rPr>
    </w:lvl>
    <w:lvl w:ilvl="1" w:tplc="29BEC56A" w:tentative="1">
      <w:start w:val="1"/>
      <w:numFmt w:val="bullet"/>
      <w:lvlText w:val="o"/>
      <w:lvlJc w:val="left"/>
      <w:pPr>
        <w:ind w:left="1440" w:hanging="360"/>
      </w:pPr>
      <w:rPr>
        <w:rFonts w:ascii="Courier New" w:hAnsi="Courier New" w:cs="Courier New" w:hint="default"/>
      </w:rPr>
    </w:lvl>
    <w:lvl w:ilvl="2" w:tplc="275E9270" w:tentative="1">
      <w:start w:val="1"/>
      <w:numFmt w:val="bullet"/>
      <w:lvlText w:val=""/>
      <w:lvlJc w:val="left"/>
      <w:pPr>
        <w:ind w:left="2160" w:hanging="360"/>
      </w:pPr>
      <w:rPr>
        <w:rFonts w:ascii="Wingdings" w:hAnsi="Wingdings" w:hint="default"/>
      </w:rPr>
    </w:lvl>
    <w:lvl w:ilvl="3" w:tplc="3B022344" w:tentative="1">
      <w:start w:val="1"/>
      <w:numFmt w:val="bullet"/>
      <w:lvlText w:val=""/>
      <w:lvlJc w:val="left"/>
      <w:pPr>
        <w:ind w:left="2880" w:hanging="360"/>
      </w:pPr>
      <w:rPr>
        <w:rFonts w:ascii="Symbol" w:hAnsi="Symbol" w:hint="default"/>
      </w:rPr>
    </w:lvl>
    <w:lvl w:ilvl="4" w:tplc="4836BD7C" w:tentative="1">
      <w:start w:val="1"/>
      <w:numFmt w:val="bullet"/>
      <w:lvlText w:val="o"/>
      <w:lvlJc w:val="left"/>
      <w:pPr>
        <w:ind w:left="3600" w:hanging="360"/>
      </w:pPr>
      <w:rPr>
        <w:rFonts w:ascii="Courier New" w:hAnsi="Courier New" w:cs="Courier New" w:hint="default"/>
      </w:rPr>
    </w:lvl>
    <w:lvl w:ilvl="5" w:tplc="B1326A7C" w:tentative="1">
      <w:start w:val="1"/>
      <w:numFmt w:val="bullet"/>
      <w:lvlText w:val=""/>
      <w:lvlJc w:val="left"/>
      <w:pPr>
        <w:ind w:left="4320" w:hanging="360"/>
      </w:pPr>
      <w:rPr>
        <w:rFonts w:ascii="Wingdings" w:hAnsi="Wingdings" w:hint="default"/>
      </w:rPr>
    </w:lvl>
    <w:lvl w:ilvl="6" w:tplc="78C21E18" w:tentative="1">
      <w:start w:val="1"/>
      <w:numFmt w:val="bullet"/>
      <w:lvlText w:val=""/>
      <w:lvlJc w:val="left"/>
      <w:pPr>
        <w:ind w:left="5040" w:hanging="360"/>
      </w:pPr>
      <w:rPr>
        <w:rFonts w:ascii="Symbol" w:hAnsi="Symbol" w:hint="default"/>
      </w:rPr>
    </w:lvl>
    <w:lvl w:ilvl="7" w:tplc="EC4A7C46" w:tentative="1">
      <w:start w:val="1"/>
      <w:numFmt w:val="bullet"/>
      <w:lvlText w:val="o"/>
      <w:lvlJc w:val="left"/>
      <w:pPr>
        <w:ind w:left="5760" w:hanging="360"/>
      </w:pPr>
      <w:rPr>
        <w:rFonts w:ascii="Courier New" w:hAnsi="Courier New" w:cs="Courier New" w:hint="default"/>
      </w:rPr>
    </w:lvl>
    <w:lvl w:ilvl="8" w:tplc="1BCA6922" w:tentative="1">
      <w:start w:val="1"/>
      <w:numFmt w:val="bullet"/>
      <w:lvlText w:val=""/>
      <w:lvlJc w:val="left"/>
      <w:pPr>
        <w:ind w:left="6480" w:hanging="360"/>
      </w:pPr>
      <w:rPr>
        <w:rFonts w:ascii="Wingdings" w:hAnsi="Wingdings" w:hint="default"/>
      </w:rPr>
    </w:lvl>
  </w:abstractNum>
  <w:abstractNum w:abstractNumId="14" w15:restartNumberingAfterBreak="0">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8" w15:restartNumberingAfterBreak="0">
    <w:nsid w:val="430B3554"/>
    <w:multiLevelType w:val="hybridMultilevel"/>
    <w:tmpl w:val="12B4DFEA"/>
    <w:lvl w:ilvl="0" w:tplc="FEEC69C0">
      <w:start w:val="1"/>
      <w:numFmt w:val="decimal"/>
      <w:lvlText w:val="%1."/>
      <w:lvlJc w:val="left"/>
      <w:pPr>
        <w:ind w:left="720" w:hanging="360"/>
      </w:pPr>
    </w:lvl>
    <w:lvl w:ilvl="1" w:tplc="8C565610" w:tentative="1">
      <w:start w:val="1"/>
      <w:numFmt w:val="lowerLetter"/>
      <w:lvlText w:val="%2."/>
      <w:lvlJc w:val="left"/>
      <w:pPr>
        <w:ind w:left="1440" w:hanging="360"/>
      </w:pPr>
    </w:lvl>
    <w:lvl w:ilvl="2" w:tplc="0F1E5F28" w:tentative="1">
      <w:start w:val="1"/>
      <w:numFmt w:val="lowerRoman"/>
      <w:lvlText w:val="%3."/>
      <w:lvlJc w:val="right"/>
      <w:pPr>
        <w:ind w:left="2160" w:hanging="180"/>
      </w:pPr>
    </w:lvl>
    <w:lvl w:ilvl="3" w:tplc="E5322D10" w:tentative="1">
      <w:start w:val="1"/>
      <w:numFmt w:val="decimal"/>
      <w:lvlText w:val="%4."/>
      <w:lvlJc w:val="left"/>
      <w:pPr>
        <w:ind w:left="2880" w:hanging="360"/>
      </w:pPr>
    </w:lvl>
    <w:lvl w:ilvl="4" w:tplc="41189BFA" w:tentative="1">
      <w:start w:val="1"/>
      <w:numFmt w:val="lowerLetter"/>
      <w:lvlText w:val="%5."/>
      <w:lvlJc w:val="left"/>
      <w:pPr>
        <w:ind w:left="3600" w:hanging="360"/>
      </w:pPr>
    </w:lvl>
    <w:lvl w:ilvl="5" w:tplc="3D1023D6" w:tentative="1">
      <w:start w:val="1"/>
      <w:numFmt w:val="lowerRoman"/>
      <w:lvlText w:val="%6."/>
      <w:lvlJc w:val="right"/>
      <w:pPr>
        <w:ind w:left="4320" w:hanging="180"/>
      </w:pPr>
    </w:lvl>
    <w:lvl w:ilvl="6" w:tplc="1BE22F44" w:tentative="1">
      <w:start w:val="1"/>
      <w:numFmt w:val="decimal"/>
      <w:lvlText w:val="%7."/>
      <w:lvlJc w:val="left"/>
      <w:pPr>
        <w:ind w:left="5040" w:hanging="360"/>
      </w:pPr>
    </w:lvl>
    <w:lvl w:ilvl="7" w:tplc="96BC43DE" w:tentative="1">
      <w:start w:val="1"/>
      <w:numFmt w:val="lowerLetter"/>
      <w:lvlText w:val="%8."/>
      <w:lvlJc w:val="left"/>
      <w:pPr>
        <w:ind w:left="5760" w:hanging="360"/>
      </w:pPr>
    </w:lvl>
    <w:lvl w:ilvl="8" w:tplc="0C683E96" w:tentative="1">
      <w:start w:val="1"/>
      <w:numFmt w:val="lowerRoman"/>
      <w:lvlText w:val="%9."/>
      <w:lvlJc w:val="right"/>
      <w:pPr>
        <w:ind w:left="6480" w:hanging="18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5C72558A"/>
    <w:multiLevelType w:val="hybridMultilevel"/>
    <w:tmpl w:val="7E388FFE"/>
    <w:lvl w:ilvl="0" w:tplc="1DDCEC28">
      <w:start w:val="1"/>
      <w:numFmt w:val="bullet"/>
      <w:lvlText w:val=""/>
      <w:lvlJc w:val="left"/>
      <w:pPr>
        <w:ind w:left="720" w:hanging="360"/>
      </w:pPr>
      <w:rPr>
        <w:rFonts w:ascii="Symbol" w:hAnsi="Symbol" w:hint="default"/>
      </w:rPr>
    </w:lvl>
    <w:lvl w:ilvl="1" w:tplc="4E44F748" w:tentative="1">
      <w:start w:val="1"/>
      <w:numFmt w:val="bullet"/>
      <w:lvlText w:val="o"/>
      <w:lvlJc w:val="left"/>
      <w:pPr>
        <w:ind w:left="1440" w:hanging="360"/>
      </w:pPr>
      <w:rPr>
        <w:rFonts w:ascii="Courier New" w:hAnsi="Courier New" w:cs="Courier New" w:hint="default"/>
      </w:rPr>
    </w:lvl>
    <w:lvl w:ilvl="2" w:tplc="376C731C" w:tentative="1">
      <w:start w:val="1"/>
      <w:numFmt w:val="bullet"/>
      <w:lvlText w:val=""/>
      <w:lvlJc w:val="left"/>
      <w:pPr>
        <w:ind w:left="2160" w:hanging="360"/>
      </w:pPr>
      <w:rPr>
        <w:rFonts w:ascii="Wingdings" w:hAnsi="Wingdings" w:hint="default"/>
      </w:rPr>
    </w:lvl>
    <w:lvl w:ilvl="3" w:tplc="818C69A8" w:tentative="1">
      <w:start w:val="1"/>
      <w:numFmt w:val="bullet"/>
      <w:lvlText w:val=""/>
      <w:lvlJc w:val="left"/>
      <w:pPr>
        <w:ind w:left="2880" w:hanging="360"/>
      </w:pPr>
      <w:rPr>
        <w:rFonts w:ascii="Symbol" w:hAnsi="Symbol" w:hint="default"/>
      </w:rPr>
    </w:lvl>
    <w:lvl w:ilvl="4" w:tplc="BF3E393E" w:tentative="1">
      <w:start w:val="1"/>
      <w:numFmt w:val="bullet"/>
      <w:lvlText w:val="o"/>
      <w:lvlJc w:val="left"/>
      <w:pPr>
        <w:ind w:left="3600" w:hanging="360"/>
      </w:pPr>
      <w:rPr>
        <w:rFonts w:ascii="Courier New" w:hAnsi="Courier New" w:cs="Courier New" w:hint="default"/>
      </w:rPr>
    </w:lvl>
    <w:lvl w:ilvl="5" w:tplc="79F67352" w:tentative="1">
      <w:start w:val="1"/>
      <w:numFmt w:val="bullet"/>
      <w:lvlText w:val=""/>
      <w:lvlJc w:val="left"/>
      <w:pPr>
        <w:ind w:left="4320" w:hanging="360"/>
      </w:pPr>
      <w:rPr>
        <w:rFonts w:ascii="Wingdings" w:hAnsi="Wingdings" w:hint="default"/>
      </w:rPr>
    </w:lvl>
    <w:lvl w:ilvl="6" w:tplc="97AE52EA" w:tentative="1">
      <w:start w:val="1"/>
      <w:numFmt w:val="bullet"/>
      <w:lvlText w:val=""/>
      <w:lvlJc w:val="left"/>
      <w:pPr>
        <w:ind w:left="5040" w:hanging="360"/>
      </w:pPr>
      <w:rPr>
        <w:rFonts w:ascii="Symbol" w:hAnsi="Symbol" w:hint="default"/>
      </w:rPr>
    </w:lvl>
    <w:lvl w:ilvl="7" w:tplc="57D6061C" w:tentative="1">
      <w:start w:val="1"/>
      <w:numFmt w:val="bullet"/>
      <w:lvlText w:val="o"/>
      <w:lvlJc w:val="left"/>
      <w:pPr>
        <w:ind w:left="5760" w:hanging="360"/>
      </w:pPr>
      <w:rPr>
        <w:rFonts w:ascii="Courier New" w:hAnsi="Courier New" w:cs="Courier New" w:hint="default"/>
      </w:rPr>
    </w:lvl>
    <w:lvl w:ilvl="8" w:tplc="E3AA9852" w:tentative="1">
      <w:start w:val="1"/>
      <w:numFmt w:val="bullet"/>
      <w:lvlText w:val=""/>
      <w:lvlJc w:val="left"/>
      <w:pPr>
        <w:ind w:left="6480"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7" w15:restartNumberingAfterBreak="0">
    <w:nsid w:val="7CBE4813"/>
    <w:multiLevelType w:val="hybridMultilevel"/>
    <w:tmpl w:val="7CBE4813"/>
    <w:lvl w:ilvl="0" w:tplc="091608D6">
      <w:start w:val="1"/>
      <w:numFmt w:val="bullet"/>
      <w:lvlText w:val=""/>
      <w:lvlJc w:val="left"/>
      <w:pPr>
        <w:ind w:left="720" w:hanging="360"/>
      </w:pPr>
      <w:rPr>
        <w:rFonts w:ascii="Symbol" w:hAnsi="Symbol"/>
      </w:rPr>
    </w:lvl>
    <w:lvl w:ilvl="1" w:tplc="4A9A5CC8">
      <w:start w:val="1"/>
      <w:numFmt w:val="bullet"/>
      <w:lvlText w:val="o"/>
      <w:lvlJc w:val="left"/>
      <w:pPr>
        <w:tabs>
          <w:tab w:val="num" w:pos="1440"/>
        </w:tabs>
        <w:ind w:left="1440" w:hanging="360"/>
      </w:pPr>
      <w:rPr>
        <w:rFonts w:ascii="Courier New" w:hAnsi="Courier New"/>
      </w:rPr>
    </w:lvl>
    <w:lvl w:ilvl="2" w:tplc="E620188E">
      <w:start w:val="1"/>
      <w:numFmt w:val="bullet"/>
      <w:lvlText w:val=""/>
      <w:lvlJc w:val="left"/>
      <w:pPr>
        <w:tabs>
          <w:tab w:val="num" w:pos="2160"/>
        </w:tabs>
        <w:ind w:left="2160" w:hanging="360"/>
      </w:pPr>
      <w:rPr>
        <w:rFonts w:ascii="Wingdings" w:hAnsi="Wingdings"/>
      </w:rPr>
    </w:lvl>
    <w:lvl w:ilvl="3" w:tplc="64546256">
      <w:start w:val="1"/>
      <w:numFmt w:val="bullet"/>
      <w:lvlText w:val=""/>
      <w:lvlJc w:val="left"/>
      <w:pPr>
        <w:tabs>
          <w:tab w:val="num" w:pos="2880"/>
        </w:tabs>
        <w:ind w:left="2880" w:hanging="360"/>
      </w:pPr>
      <w:rPr>
        <w:rFonts w:ascii="Symbol" w:hAnsi="Symbol"/>
      </w:rPr>
    </w:lvl>
    <w:lvl w:ilvl="4" w:tplc="D548A66E">
      <w:start w:val="1"/>
      <w:numFmt w:val="bullet"/>
      <w:lvlText w:val="o"/>
      <w:lvlJc w:val="left"/>
      <w:pPr>
        <w:tabs>
          <w:tab w:val="num" w:pos="3600"/>
        </w:tabs>
        <w:ind w:left="3600" w:hanging="360"/>
      </w:pPr>
      <w:rPr>
        <w:rFonts w:ascii="Courier New" w:hAnsi="Courier New"/>
      </w:rPr>
    </w:lvl>
    <w:lvl w:ilvl="5" w:tplc="7982E32E">
      <w:start w:val="1"/>
      <w:numFmt w:val="bullet"/>
      <w:lvlText w:val=""/>
      <w:lvlJc w:val="left"/>
      <w:pPr>
        <w:tabs>
          <w:tab w:val="num" w:pos="4320"/>
        </w:tabs>
        <w:ind w:left="4320" w:hanging="360"/>
      </w:pPr>
      <w:rPr>
        <w:rFonts w:ascii="Wingdings" w:hAnsi="Wingdings"/>
      </w:rPr>
    </w:lvl>
    <w:lvl w:ilvl="6" w:tplc="10249AA0">
      <w:start w:val="1"/>
      <w:numFmt w:val="bullet"/>
      <w:lvlText w:val=""/>
      <w:lvlJc w:val="left"/>
      <w:pPr>
        <w:tabs>
          <w:tab w:val="num" w:pos="5040"/>
        </w:tabs>
        <w:ind w:left="5040" w:hanging="360"/>
      </w:pPr>
      <w:rPr>
        <w:rFonts w:ascii="Symbol" w:hAnsi="Symbol"/>
      </w:rPr>
    </w:lvl>
    <w:lvl w:ilvl="7" w:tplc="6B38D96E">
      <w:start w:val="1"/>
      <w:numFmt w:val="bullet"/>
      <w:lvlText w:val="o"/>
      <w:lvlJc w:val="left"/>
      <w:pPr>
        <w:tabs>
          <w:tab w:val="num" w:pos="5760"/>
        </w:tabs>
        <w:ind w:left="5760" w:hanging="360"/>
      </w:pPr>
      <w:rPr>
        <w:rFonts w:ascii="Courier New" w:hAnsi="Courier New"/>
      </w:rPr>
    </w:lvl>
    <w:lvl w:ilvl="8" w:tplc="EEF4BEF2">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4"/>
    <w:multiLevelType w:val="hybridMultilevel"/>
    <w:tmpl w:val="7CBE4814"/>
    <w:lvl w:ilvl="0" w:tplc="65EEF6E8">
      <w:start w:val="1"/>
      <w:numFmt w:val="bullet"/>
      <w:lvlText w:val=""/>
      <w:lvlJc w:val="left"/>
      <w:pPr>
        <w:ind w:left="720" w:hanging="360"/>
      </w:pPr>
      <w:rPr>
        <w:rFonts w:ascii="Symbol" w:hAnsi="Symbol"/>
      </w:rPr>
    </w:lvl>
    <w:lvl w:ilvl="1" w:tplc="C6983028">
      <w:start w:val="1"/>
      <w:numFmt w:val="bullet"/>
      <w:lvlText w:val="o"/>
      <w:lvlJc w:val="left"/>
      <w:pPr>
        <w:tabs>
          <w:tab w:val="num" w:pos="1440"/>
        </w:tabs>
        <w:ind w:left="1440" w:hanging="360"/>
      </w:pPr>
      <w:rPr>
        <w:rFonts w:ascii="Courier New" w:hAnsi="Courier New"/>
      </w:rPr>
    </w:lvl>
    <w:lvl w:ilvl="2" w:tplc="ED684352">
      <w:start w:val="1"/>
      <w:numFmt w:val="bullet"/>
      <w:lvlText w:val=""/>
      <w:lvlJc w:val="left"/>
      <w:pPr>
        <w:tabs>
          <w:tab w:val="num" w:pos="2160"/>
        </w:tabs>
        <w:ind w:left="2160" w:hanging="360"/>
      </w:pPr>
      <w:rPr>
        <w:rFonts w:ascii="Wingdings" w:hAnsi="Wingdings"/>
      </w:rPr>
    </w:lvl>
    <w:lvl w:ilvl="3" w:tplc="FAB6D29E">
      <w:start w:val="1"/>
      <w:numFmt w:val="bullet"/>
      <w:lvlText w:val=""/>
      <w:lvlJc w:val="left"/>
      <w:pPr>
        <w:tabs>
          <w:tab w:val="num" w:pos="2880"/>
        </w:tabs>
        <w:ind w:left="2880" w:hanging="360"/>
      </w:pPr>
      <w:rPr>
        <w:rFonts w:ascii="Symbol" w:hAnsi="Symbol"/>
      </w:rPr>
    </w:lvl>
    <w:lvl w:ilvl="4" w:tplc="893E90E8">
      <w:start w:val="1"/>
      <w:numFmt w:val="bullet"/>
      <w:lvlText w:val="o"/>
      <w:lvlJc w:val="left"/>
      <w:pPr>
        <w:tabs>
          <w:tab w:val="num" w:pos="3600"/>
        </w:tabs>
        <w:ind w:left="3600" w:hanging="360"/>
      </w:pPr>
      <w:rPr>
        <w:rFonts w:ascii="Courier New" w:hAnsi="Courier New"/>
      </w:rPr>
    </w:lvl>
    <w:lvl w:ilvl="5" w:tplc="C1C64118">
      <w:start w:val="1"/>
      <w:numFmt w:val="bullet"/>
      <w:lvlText w:val=""/>
      <w:lvlJc w:val="left"/>
      <w:pPr>
        <w:tabs>
          <w:tab w:val="num" w:pos="4320"/>
        </w:tabs>
        <w:ind w:left="4320" w:hanging="360"/>
      </w:pPr>
      <w:rPr>
        <w:rFonts w:ascii="Wingdings" w:hAnsi="Wingdings"/>
      </w:rPr>
    </w:lvl>
    <w:lvl w:ilvl="6" w:tplc="C92049A8">
      <w:start w:val="1"/>
      <w:numFmt w:val="bullet"/>
      <w:lvlText w:val=""/>
      <w:lvlJc w:val="left"/>
      <w:pPr>
        <w:tabs>
          <w:tab w:val="num" w:pos="5040"/>
        </w:tabs>
        <w:ind w:left="5040" w:hanging="360"/>
      </w:pPr>
      <w:rPr>
        <w:rFonts w:ascii="Symbol" w:hAnsi="Symbol"/>
      </w:rPr>
    </w:lvl>
    <w:lvl w:ilvl="7" w:tplc="3850A4A6">
      <w:start w:val="1"/>
      <w:numFmt w:val="bullet"/>
      <w:lvlText w:val="o"/>
      <w:lvlJc w:val="left"/>
      <w:pPr>
        <w:tabs>
          <w:tab w:val="num" w:pos="5760"/>
        </w:tabs>
        <w:ind w:left="5760" w:hanging="360"/>
      </w:pPr>
      <w:rPr>
        <w:rFonts w:ascii="Courier New" w:hAnsi="Courier New"/>
      </w:rPr>
    </w:lvl>
    <w:lvl w:ilvl="8" w:tplc="15C6C636">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5"/>
    <w:multiLevelType w:val="hybridMultilevel"/>
    <w:tmpl w:val="7CBE4815"/>
    <w:lvl w:ilvl="0" w:tplc="61A68342">
      <w:start w:val="1"/>
      <w:numFmt w:val="bullet"/>
      <w:lvlText w:val=""/>
      <w:lvlJc w:val="left"/>
      <w:pPr>
        <w:ind w:left="720" w:hanging="360"/>
      </w:pPr>
      <w:rPr>
        <w:rFonts w:ascii="Symbol" w:hAnsi="Symbol"/>
      </w:rPr>
    </w:lvl>
    <w:lvl w:ilvl="1" w:tplc="0E985958">
      <w:start w:val="1"/>
      <w:numFmt w:val="bullet"/>
      <w:lvlText w:val="o"/>
      <w:lvlJc w:val="left"/>
      <w:pPr>
        <w:tabs>
          <w:tab w:val="num" w:pos="1440"/>
        </w:tabs>
        <w:ind w:left="1440" w:hanging="360"/>
      </w:pPr>
      <w:rPr>
        <w:rFonts w:ascii="Courier New" w:hAnsi="Courier New"/>
      </w:rPr>
    </w:lvl>
    <w:lvl w:ilvl="2" w:tplc="11460342">
      <w:start w:val="1"/>
      <w:numFmt w:val="bullet"/>
      <w:lvlText w:val=""/>
      <w:lvlJc w:val="left"/>
      <w:pPr>
        <w:tabs>
          <w:tab w:val="num" w:pos="2160"/>
        </w:tabs>
        <w:ind w:left="2160" w:hanging="360"/>
      </w:pPr>
      <w:rPr>
        <w:rFonts w:ascii="Wingdings" w:hAnsi="Wingdings"/>
      </w:rPr>
    </w:lvl>
    <w:lvl w:ilvl="3" w:tplc="405ECD0C">
      <w:start w:val="1"/>
      <w:numFmt w:val="bullet"/>
      <w:lvlText w:val=""/>
      <w:lvlJc w:val="left"/>
      <w:pPr>
        <w:tabs>
          <w:tab w:val="num" w:pos="2880"/>
        </w:tabs>
        <w:ind w:left="2880" w:hanging="360"/>
      </w:pPr>
      <w:rPr>
        <w:rFonts w:ascii="Symbol" w:hAnsi="Symbol"/>
      </w:rPr>
    </w:lvl>
    <w:lvl w:ilvl="4" w:tplc="D2524A48">
      <w:start w:val="1"/>
      <w:numFmt w:val="bullet"/>
      <w:lvlText w:val="o"/>
      <w:lvlJc w:val="left"/>
      <w:pPr>
        <w:tabs>
          <w:tab w:val="num" w:pos="3600"/>
        </w:tabs>
        <w:ind w:left="3600" w:hanging="360"/>
      </w:pPr>
      <w:rPr>
        <w:rFonts w:ascii="Courier New" w:hAnsi="Courier New"/>
      </w:rPr>
    </w:lvl>
    <w:lvl w:ilvl="5" w:tplc="28F0E672">
      <w:start w:val="1"/>
      <w:numFmt w:val="bullet"/>
      <w:lvlText w:val=""/>
      <w:lvlJc w:val="left"/>
      <w:pPr>
        <w:tabs>
          <w:tab w:val="num" w:pos="4320"/>
        </w:tabs>
        <w:ind w:left="4320" w:hanging="360"/>
      </w:pPr>
      <w:rPr>
        <w:rFonts w:ascii="Wingdings" w:hAnsi="Wingdings"/>
      </w:rPr>
    </w:lvl>
    <w:lvl w:ilvl="6" w:tplc="33D61B10">
      <w:start w:val="1"/>
      <w:numFmt w:val="bullet"/>
      <w:lvlText w:val=""/>
      <w:lvlJc w:val="left"/>
      <w:pPr>
        <w:tabs>
          <w:tab w:val="num" w:pos="5040"/>
        </w:tabs>
        <w:ind w:left="5040" w:hanging="360"/>
      </w:pPr>
      <w:rPr>
        <w:rFonts w:ascii="Symbol" w:hAnsi="Symbol"/>
      </w:rPr>
    </w:lvl>
    <w:lvl w:ilvl="7" w:tplc="77B491FC">
      <w:start w:val="1"/>
      <w:numFmt w:val="bullet"/>
      <w:lvlText w:val="o"/>
      <w:lvlJc w:val="left"/>
      <w:pPr>
        <w:tabs>
          <w:tab w:val="num" w:pos="5760"/>
        </w:tabs>
        <w:ind w:left="5760" w:hanging="360"/>
      </w:pPr>
      <w:rPr>
        <w:rFonts w:ascii="Courier New" w:hAnsi="Courier New"/>
      </w:rPr>
    </w:lvl>
    <w:lvl w:ilvl="8" w:tplc="EB4ED81C">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6"/>
    <w:multiLevelType w:val="hybridMultilevel"/>
    <w:tmpl w:val="7CBE4816"/>
    <w:lvl w:ilvl="0" w:tplc="9624855C">
      <w:start w:val="1"/>
      <w:numFmt w:val="bullet"/>
      <w:lvlText w:val=""/>
      <w:lvlJc w:val="left"/>
      <w:pPr>
        <w:ind w:left="720" w:hanging="360"/>
      </w:pPr>
      <w:rPr>
        <w:rFonts w:ascii="Symbol" w:hAnsi="Symbol"/>
      </w:rPr>
    </w:lvl>
    <w:lvl w:ilvl="1" w:tplc="89A4C5F8">
      <w:start w:val="1"/>
      <w:numFmt w:val="bullet"/>
      <w:lvlText w:val="o"/>
      <w:lvlJc w:val="left"/>
      <w:pPr>
        <w:ind w:left="1440" w:hanging="360"/>
      </w:pPr>
      <w:rPr>
        <w:rFonts w:ascii="Courier New" w:hAnsi="Courier New"/>
      </w:rPr>
    </w:lvl>
    <w:lvl w:ilvl="2" w:tplc="63AC4D3E">
      <w:start w:val="1"/>
      <w:numFmt w:val="bullet"/>
      <w:lvlText w:val=""/>
      <w:lvlJc w:val="left"/>
      <w:pPr>
        <w:tabs>
          <w:tab w:val="num" w:pos="2160"/>
        </w:tabs>
        <w:ind w:left="2160" w:hanging="360"/>
      </w:pPr>
      <w:rPr>
        <w:rFonts w:ascii="Wingdings" w:hAnsi="Wingdings"/>
      </w:rPr>
    </w:lvl>
    <w:lvl w:ilvl="3" w:tplc="D6900EA8">
      <w:start w:val="1"/>
      <w:numFmt w:val="bullet"/>
      <w:lvlText w:val=""/>
      <w:lvlJc w:val="left"/>
      <w:pPr>
        <w:tabs>
          <w:tab w:val="num" w:pos="2880"/>
        </w:tabs>
        <w:ind w:left="2880" w:hanging="360"/>
      </w:pPr>
      <w:rPr>
        <w:rFonts w:ascii="Symbol" w:hAnsi="Symbol"/>
      </w:rPr>
    </w:lvl>
    <w:lvl w:ilvl="4" w:tplc="A19C8118">
      <w:start w:val="1"/>
      <w:numFmt w:val="bullet"/>
      <w:lvlText w:val="o"/>
      <w:lvlJc w:val="left"/>
      <w:pPr>
        <w:tabs>
          <w:tab w:val="num" w:pos="3600"/>
        </w:tabs>
        <w:ind w:left="3600" w:hanging="360"/>
      </w:pPr>
      <w:rPr>
        <w:rFonts w:ascii="Courier New" w:hAnsi="Courier New"/>
      </w:rPr>
    </w:lvl>
    <w:lvl w:ilvl="5" w:tplc="E708A4D0">
      <w:start w:val="1"/>
      <w:numFmt w:val="bullet"/>
      <w:lvlText w:val=""/>
      <w:lvlJc w:val="left"/>
      <w:pPr>
        <w:tabs>
          <w:tab w:val="num" w:pos="4320"/>
        </w:tabs>
        <w:ind w:left="4320" w:hanging="360"/>
      </w:pPr>
      <w:rPr>
        <w:rFonts w:ascii="Wingdings" w:hAnsi="Wingdings"/>
      </w:rPr>
    </w:lvl>
    <w:lvl w:ilvl="6" w:tplc="53C2B4BC">
      <w:start w:val="1"/>
      <w:numFmt w:val="bullet"/>
      <w:lvlText w:val=""/>
      <w:lvlJc w:val="left"/>
      <w:pPr>
        <w:tabs>
          <w:tab w:val="num" w:pos="5040"/>
        </w:tabs>
        <w:ind w:left="5040" w:hanging="360"/>
      </w:pPr>
      <w:rPr>
        <w:rFonts w:ascii="Symbol" w:hAnsi="Symbol"/>
      </w:rPr>
    </w:lvl>
    <w:lvl w:ilvl="7" w:tplc="467A06FA">
      <w:start w:val="1"/>
      <w:numFmt w:val="bullet"/>
      <w:lvlText w:val="o"/>
      <w:lvlJc w:val="left"/>
      <w:pPr>
        <w:tabs>
          <w:tab w:val="num" w:pos="5760"/>
        </w:tabs>
        <w:ind w:left="5760" w:hanging="360"/>
      </w:pPr>
      <w:rPr>
        <w:rFonts w:ascii="Courier New" w:hAnsi="Courier New"/>
      </w:rPr>
    </w:lvl>
    <w:lvl w:ilvl="8" w:tplc="F1CCBA18">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7"/>
    <w:multiLevelType w:val="hybridMultilevel"/>
    <w:tmpl w:val="7CBE4817"/>
    <w:lvl w:ilvl="0" w:tplc="1F848776">
      <w:start w:val="1"/>
      <w:numFmt w:val="bullet"/>
      <w:lvlText w:val=""/>
      <w:lvlJc w:val="left"/>
      <w:pPr>
        <w:ind w:left="720" w:hanging="360"/>
      </w:pPr>
      <w:rPr>
        <w:rFonts w:ascii="Symbol" w:hAnsi="Symbol"/>
      </w:rPr>
    </w:lvl>
    <w:lvl w:ilvl="1" w:tplc="2874370E">
      <w:start w:val="1"/>
      <w:numFmt w:val="bullet"/>
      <w:lvlText w:val="o"/>
      <w:lvlJc w:val="left"/>
      <w:pPr>
        <w:tabs>
          <w:tab w:val="num" w:pos="1440"/>
        </w:tabs>
        <w:ind w:left="1440" w:hanging="360"/>
      </w:pPr>
      <w:rPr>
        <w:rFonts w:ascii="Courier New" w:hAnsi="Courier New"/>
      </w:rPr>
    </w:lvl>
    <w:lvl w:ilvl="2" w:tplc="8F7E7FAA">
      <w:start w:val="1"/>
      <w:numFmt w:val="bullet"/>
      <w:lvlText w:val=""/>
      <w:lvlJc w:val="left"/>
      <w:pPr>
        <w:tabs>
          <w:tab w:val="num" w:pos="2160"/>
        </w:tabs>
        <w:ind w:left="2160" w:hanging="360"/>
      </w:pPr>
      <w:rPr>
        <w:rFonts w:ascii="Wingdings" w:hAnsi="Wingdings"/>
      </w:rPr>
    </w:lvl>
    <w:lvl w:ilvl="3" w:tplc="2D78C7B8">
      <w:start w:val="1"/>
      <w:numFmt w:val="bullet"/>
      <w:lvlText w:val=""/>
      <w:lvlJc w:val="left"/>
      <w:pPr>
        <w:tabs>
          <w:tab w:val="num" w:pos="2880"/>
        </w:tabs>
        <w:ind w:left="2880" w:hanging="360"/>
      </w:pPr>
      <w:rPr>
        <w:rFonts w:ascii="Symbol" w:hAnsi="Symbol"/>
      </w:rPr>
    </w:lvl>
    <w:lvl w:ilvl="4" w:tplc="7F1024DA">
      <w:start w:val="1"/>
      <w:numFmt w:val="bullet"/>
      <w:lvlText w:val="o"/>
      <w:lvlJc w:val="left"/>
      <w:pPr>
        <w:tabs>
          <w:tab w:val="num" w:pos="3600"/>
        </w:tabs>
        <w:ind w:left="3600" w:hanging="360"/>
      </w:pPr>
      <w:rPr>
        <w:rFonts w:ascii="Courier New" w:hAnsi="Courier New"/>
      </w:rPr>
    </w:lvl>
    <w:lvl w:ilvl="5" w:tplc="047C4788">
      <w:start w:val="1"/>
      <w:numFmt w:val="bullet"/>
      <w:lvlText w:val=""/>
      <w:lvlJc w:val="left"/>
      <w:pPr>
        <w:tabs>
          <w:tab w:val="num" w:pos="4320"/>
        </w:tabs>
        <w:ind w:left="4320" w:hanging="360"/>
      </w:pPr>
      <w:rPr>
        <w:rFonts w:ascii="Wingdings" w:hAnsi="Wingdings"/>
      </w:rPr>
    </w:lvl>
    <w:lvl w:ilvl="6" w:tplc="A2E4B190">
      <w:start w:val="1"/>
      <w:numFmt w:val="bullet"/>
      <w:lvlText w:val=""/>
      <w:lvlJc w:val="left"/>
      <w:pPr>
        <w:tabs>
          <w:tab w:val="num" w:pos="5040"/>
        </w:tabs>
        <w:ind w:left="5040" w:hanging="360"/>
      </w:pPr>
      <w:rPr>
        <w:rFonts w:ascii="Symbol" w:hAnsi="Symbol"/>
      </w:rPr>
    </w:lvl>
    <w:lvl w:ilvl="7" w:tplc="92A8D4D0">
      <w:start w:val="1"/>
      <w:numFmt w:val="bullet"/>
      <w:lvlText w:val="o"/>
      <w:lvlJc w:val="left"/>
      <w:pPr>
        <w:tabs>
          <w:tab w:val="num" w:pos="5760"/>
        </w:tabs>
        <w:ind w:left="5760" w:hanging="360"/>
      </w:pPr>
      <w:rPr>
        <w:rFonts w:ascii="Courier New" w:hAnsi="Courier New"/>
      </w:rPr>
    </w:lvl>
    <w:lvl w:ilvl="8" w:tplc="B8763522">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8"/>
    <w:multiLevelType w:val="hybridMultilevel"/>
    <w:tmpl w:val="7CBE4818"/>
    <w:lvl w:ilvl="0" w:tplc="A378D498">
      <w:start w:val="1"/>
      <w:numFmt w:val="bullet"/>
      <w:lvlText w:val=""/>
      <w:lvlJc w:val="left"/>
      <w:pPr>
        <w:ind w:left="720" w:hanging="360"/>
      </w:pPr>
      <w:rPr>
        <w:rFonts w:ascii="Symbol" w:hAnsi="Symbol"/>
      </w:rPr>
    </w:lvl>
    <w:lvl w:ilvl="1" w:tplc="5F6AE0A2">
      <w:start w:val="1"/>
      <w:numFmt w:val="bullet"/>
      <w:lvlText w:val="o"/>
      <w:lvlJc w:val="left"/>
      <w:pPr>
        <w:tabs>
          <w:tab w:val="num" w:pos="1440"/>
        </w:tabs>
        <w:ind w:left="1440" w:hanging="360"/>
      </w:pPr>
      <w:rPr>
        <w:rFonts w:ascii="Courier New" w:hAnsi="Courier New"/>
      </w:rPr>
    </w:lvl>
    <w:lvl w:ilvl="2" w:tplc="4A1459AE">
      <w:start w:val="1"/>
      <w:numFmt w:val="bullet"/>
      <w:lvlText w:val=""/>
      <w:lvlJc w:val="left"/>
      <w:pPr>
        <w:tabs>
          <w:tab w:val="num" w:pos="2160"/>
        </w:tabs>
        <w:ind w:left="2160" w:hanging="360"/>
      </w:pPr>
      <w:rPr>
        <w:rFonts w:ascii="Wingdings" w:hAnsi="Wingdings"/>
      </w:rPr>
    </w:lvl>
    <w:lvl w:ilvl="3" w:tplc="BE705C64">
      <w:start w:val="1"/>
      <w:numFmt w:val="bullet"/>
      <w:lvlText w:val=""/>
      <w:lvlJc w:val="left"/>
      <w:pPr>
        <w:tabs>
          <w:tab w:val="num" w:pos="2880"/>
        </w:tabs>
        <w:ind w:left="2880" w:hanging="360"/>
      </w:pPr>
      <w:rPr>
        <w:rFonts w:ascii="Symbol" w:hAnsi="Symbol"/>
      </w:rPr>
    </w:lvl>
    <w:lvl w:ilvl="4" w:tplc="C2D2984A">
      <w:start w:val="1"/>
      <w:numFmt w:val="bullet"/>
      <w:lvlText w:val="o"/>
      <w:lvlJc w:val="left"/>
      <w:pPr>
        <w:tabs>
          <w:tab w:val="num" w:pos="3600"/>
        </w:tabs>
        <w:ind w:left="3600" w:hanging="360"/>
      </w:pPr>
      <w:rPr>
        <w:rFonts w:ascii="Courier New" w:hAnsi="Courier New"/>
      </w:rPr>
    </w:lvl>
    <w:lvl w:ilvl="5" w:tplc="E784331E">
      <w:start w:val="1"/>
      <w:numFmt w:val="bullet"/>
      <w:lvlText w:val=""/>
      <w:lvlJc w:val="left"/>
      <w:pPr>
        <w:tabs>
          <w:tab w:val="num" w:pos="4320"/>
        </w:tabs>
        <w:ind w:left="4320" w:hanging="360"/>
      </w:pPr>
      <w:rPr>
        <w:rFonts w:ascii="Wingdings" w:hAnsi="Wingdings"/>
      </w:rPr>
    </w:lvl>
    <w:lvl w:ilvl="6" w:tplc="547685E8">
      <w:start w:val="1"/>
      <w:numFmt w:val="bullet"/>
      <w:lvlText w:val=""/>
      <w:lvlJc w:val="left"/>
      <w:pPr>
        <w:tabs>
          <w:tab w:val="num" w:pos="5040"/>
        </w:tabs>
        <w:ind w:left="5040" w:hanging="360"/>
      </w:pPr>
      <w:rPr>
        <w:rFonts w:ascii="Symbol" w:hAnsi="Symbol"/>
      </w:rPr>
    </w:lvl>
    <w:lvl w:ilvl="7" w:tplc="A15606EE">
      <w:start w:val="1"/>
      <w:numFmt w:val="bullet"/>
      <w:lvlText w:val="o"/>
      <w:lvlJc w:val="left"/>
      <w:pPr>
        <w:tabs>
          <w:tab w:val="num" w:pos="5760"/>
        </w:tabs>
        <w:ind w:left="5760" w:hanging="360"/>
      </w:pPr>
      <w:rPr>
        <w:rFonts w:ascii="Courier New" w:hAnsi="Courier New"/>
      </w:rPr>
    </w:lvl>
    <w:lvl w:ilvl="8" w:tplc="42B462C0">
      <w:start w:val="1"/>
      <w:numFmt w:val="bullet"/>
      <w:lvlText w:val=""/>
      <w:lvlJc w:val="left"/>
      <w:pPr>
        <w:tabs>
          <w:tab w:val="num" w:pos="6480"/>
        </w:tabs>
        <w:ind w:left="6480" w:hanging="360"/>
      </w:pPr>
      <w:rPr>
        <w:rFonts w:ascii="Wingdings" w:hAnsi="Wingdings"/>
      </w:rPr>
    </w:lvl>
  </w:abstractNum>
  <w:abstractNum w:abstractNumId="43" w15:restartNumberingAfterBreak="0">
    <w:nsid w:val="7CBE4819"/>
    <w:multiLevelType w:val="hybridMultilevel"/>
    <w:tmpl w:val="7CBE4819"/>
    <w:lvl w:ilvl="0" w:tplc="4840359E">
      <w:start w:val="1"/>
      <w:numFmt w:val="bullet"/>
      <w:lvlText w:val=""/>
      <w:lvlJc w:val="left"/>
      <w:pPr>
        <w:ind w:left="720" w:hanging="360"/>
      </w:pPr>
      <w:rPr>
        <w:rFonts w:ascii="Symbol" w:hAnsi="Symbol"/>
      </w:rPr>
    </w:lvl>
    <w:lvl w:ilvl="1" w:tplc="5FCEED90">
      <w:start w:val="1"/>
      <w:numFmt w:val="bullet"/>
      <w:lvlText w:val="o"/>
      <w:lvlJc w:val="left"/>
      <w:pPr>
        <w:ind w:left="1440" w:hanging="360"/>
      </w:pPr>
      <w:rPr>
        <w:rFonts w:ascii="Courier New" w:hAnsi="Courier New"/>
      </w:rPr>
    </w:lvl>
    <w:lvl w:ilvl="2" w:tplc="6278EFD2">
      <w:start w:val="1"/>
      <w:numFmt w:val="bullet"/>
      <w:lvlText w:val=""/>
      <w:lvlJc w:val="left"/>
      <w:pPr>
        <w:tabs>
          <w:tab w:val="num" w:pos="2160"/>
        </w:tabs>
        <w:ind w:left="2160" w:hanging="360"/>
      </w:pPr>
      <w:rPr>
        <w:rFonts w:ascii="Wingdings" w:hAnsi="Wingdings"/>
      </w:rPr>
    </w:lvl>
    <w:lvl w:ilvl="3" w:tplc="02EEE32A">
      <w:start w:val="1"/>
      <w:numFmt w:val="bullet"/>
      <w:lvlText w:val=""/>
      <w:lvlJc w:val="left"/>
      <w:pPr>
        <w:tabs>
          <w:tab w:val="num" w:pos="2880"/>
        </w:tabs>
        <w:ind w:left="2880" w:hanging="360"/>
      </w:pPr>
      <w:rPr>
        <w:rFonts w:ascii="Symbol" w:hAnsi="Symbol"/>
      </w:rPr>
    </w:lvl>
    <w:lvl w:ilvl="4" w:tplc="4EC2EAE2">
      <w:start w:val="1"/>
      <w:numFmt w:val="bullet"/>
      <w:lvlText w:val="o"/>
      <w:lvlJc w:val="left"/>
      <w:pPr>
        <w:tabs>
          <w:tab w:val="num" w:pos="3600"/>
        </w:tabs>
        <w:ind w:left="3600" w:hanging="360"/>
      </w:pPr>
      <w:rPr>
        <w:rFonts w:ascii="Courier New" w:hAnsi="Courier New"/>
      </w:rPr>
    </w:lvl>
    <w:lvl w:ilvl="5" w:tplc="9F120A96">
      <w:start w:val="1"/>
      <w:numFmt w:val="bullet"/>
      <w:lvlText w:val=""/>
      <w:lvlJc w:val="left"/>
      <w:pPr>
        <w:tabs>
          <w:tab w:val="num" w:pos="4320"/>
        </w:tabs>
        <w:ind w:left="4320" w:hanging="360"/>
      </w:pPr>
      <w:rPr>
        <w:rFonts w:ascii="Wingdings" w:hAnsi="Wingdings"/>
      </w:rPr>
    </w:lvl>
    <w:lvl w:ilvl="6" w:tplc="96EA1608">
      <w:start w:val="1"/>
      <w:numFmt w:val="bullet"/>
      <w:lvlText w:val=""/>
      <w:lvlJc w:val="left"/>
      <w:pPr>
        <w:tabs>
          <w:tab w:val="num" w:pos="5040"/>
        </w:tabs>
        <w:ind w:left="5040" w:hanging="360"/>
      </w:pPr>
      <w:rPr>
        <w:rFonts w:ascii="Symbol" w:hAnsi="Symbol"/>
      </w:rPr>
    </w:lvl>
    <w:lvl w:ilvl="7" w:tplc="9424D154">
      <w:start w:val="1"/>
      <w:numFmt w:val="bullet"/>
      <w:lvlText w:val="o"/>
      <w:lvlJc w:val="left"/>
      <w:pPr>
        <w:tabs>
          <w:tab w:val="num" w:pos="5760"/>
        </w:tabs>
        <w:ind w:left="5760" w:hanging="360"/>
      </w:pPr>
      <w:rPr>
        <w:rFonts w:ascii="Courier New" w:hAnsi="Courier New"/>
      </w:rPr>
    </w:lvl>
    <w:lvl w:ilvl="8" w:tplc="20CEC9F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1A"/>
    <w:multiLevelType w:val="hybridMultilevel"/>
    <w:tmpl w:val="7CBE481A"/>
    <w:lvl w:ilvl="0" w:tplc="0226E0CC">
      <w:start w:val="1"/>
      <w:numFmt w:val="bullet"/>
      <w:lvlText w:val="o"/>
      <w:lvlJc w:val="left"/>
      <w:pPr>
        <w:tabs>
          <w:tab w:val="num" w:pos="720"/>
        </w:tabs>
        <w:ind w:left="720" w:hanging="360"/>
      </w:pPr>
      <w:rPr>
        <w:rFonts w:ascii="Courier New" w:hAnsi="Courier New"/>
      </w:rPr>
    </w:lvl>
    <w:lvl w:ilvl="1" w:tplc="824C261A">
      <w:start w:val="1"/>
      <w:numFmt w:val="bullet"/>
      <w:lvlText w:val="o"/>
      <w:lvlJc w:val="left"/>
      <w:pPr>
        <w:ind w:left="1440" w:hanging="360"/>
      </w:pPr>
      <w:rPr>
        <w:rFonts w:ascii="Courier New" w:hAnsi="Courier New"/>
      </w:rPr>
    </w:lvl>
    <w:lvl w:ilvl="2" w:tplc="215C1086">
      <w:start w:val="1"/>
      <w:numFmt w:val="bullet"/>
      <w:lvlText w:val=""/>
      <w:lvlJc w:val="left"/>
      <w:pPr>
        <w:tabs>
          <w:tab w:val="num" w:pos="2160"/>
        </w:tabs>
        <w:ind w:left="2160" w:hanging="360"/>
      </w:pPr>
      <w:rPr>
        <w:rFonts w:ascii="Wingdings" w:hAnsi="Wingdings"/>
      </w:rPr>
    </w:lvl>
    <w:lvl w:ilvl="3" w:tplc="433CE37C">
      <w:start w:val="1"/>
      <w:numFmt w:val="bullet"/>
      <w:lvlText w:val=""/>
      <w:lvlJc w:val="left"/>
      <w:pPr>
        <w:tabs>
          <w:tab w:val="num" w:pos="2880"/>
        </w:tabs>
        <w:ind w:left="2880" w:hanging="360"/>
      </w:pPr>
      <w:rPr>
        <w:rFonts w:ascii="Symbol" w:hAnsi="Symbol"/>
      </w:rPr>
    </w:lvl>
    <w:lvl w:ilvl="4" w:tplc="920699BE">
      <w:start w:val="1"/>
      <w:numFmt w:val="bullet"/>
      <w:lvlText w:val="o"/>
      <w:lvlJc w:val="left"/>
      <w:pPr>
        <w:tabs>
          <w:tab w:val="num" w:pos="3600"/>
        </w:tabs>
        <w:ind w:left="3600" w:hanging="360"/>
      </w:pPr>
      <w:rPr>
        <w:rFonts w:ascii="Courier New" w:hAnsi="Courier New"/>
      </w:rPr>
    </w:lvl>
    <w:lvl w:ilvl="5" w:tplc="8298951E">
      <w:start w:val="1"/>
      <w:numFmt w:val="bullet"/>
      <w:lvlText w:val=""/>
      <w:lvlJc w:val="left"/>
      <w:pPr>
        <w:tabs>
          <w:tab w:val="num" w:pos="4320"/>
        </w:tabs>
        <w:ind w:left="4320" w:hanging="360"/>
      </w:pPr>
      <w:rPr>
        <w:rFonts w:ascii="Wingdings" w:hAnsi="Wingdings"/>
      </w:rPr>
    </w:lvl>
    <w:lvl w:ilvl="6" w:tplc="4E627D4A">
      <w:start w:val="1"/>
      <w:numFmt w:val="bullet"/>
      <w:lvlText w:val=""/>
      <w:lvlJc w:val="left"/>
      <w:pPr>
        <w:tabs>
          <w:tab w:val="num" w:pos="5040"/>
        </w:tabs>
        <w:ind w:left="5040" w:hanging="360"/>
      </w:pPr>
      <w:rPr>
        <w:rFonts w:ascii="Symbol" w:hAnsi="Symbol"/>
      </w:rPr>
    </w:lvl>
    <w:lvl w:ilvl="7" w:tplc="0E402822">
      <w:start w:val="1"/>
      <w:numFmt w:val="bullet"/>
      <w:lvlText w:val="o"/>
      <w:lvlJc w:val="left"/>
      <w:pPr>
        <w:tabs>
          <w:tab w:val="num" w:pos="5760"/>
        </w:tabs>
        <w:ind w:left="5760" w:hanging="360"/>
      </w:pPr>
      <w:rPr>
        <w:rFonts w:ascii="Courier New" w:hAnsi="Courier New"/>
      </w:rPr>
    </w:lvl>
    <w:lvl w:ilvl="8" w:tplc="F4CA6D8C">
      <w:start w:val="1"/>
      <w:numFmt w:val="bullet"/>
      <w:lvlText w:val=""/>
      <w:lvlJc w:val="left"/>
      <w:pPr>
        <w:tabs>
          <w:tab w:val="num" w:pos="6480"/>
        </w:tabs>
        <w:ind w:left="6480" w:hanging="360"/>
      </w:pPr>
      <w:rPr>
        <w:rFonts w:ascii="Wingdings" w:hAnsi="Wingdings"/>
      </w:rPr>
    </w:lvl>
  </w:abstractNum>
  <w:num w:numId="1">
    <w:abstractNumId w:val="27"/>
  </w:num>
  <w:num w:numId="2">
    <w:abstractNumId w:val="15"/>
  </w:num>
  <w:num w:numId="3">
    <w:abstractNumId w:val="33"/>
  </w:num>
  <w:num w:numId="4">
    <w:abstractNumId w:val="12"/>
  </w:num>
  <w:num w:numId="5">
    <w:abstractNumId w:val="17"/>
  </w:num>
  <w:num w:numId="6">
    <w:abstractNumId w:val="8"/>
  </w:num>
  <w:num w:numId="7">
    <w:abstractNumId w:val="29"/>
  </w:num>
  <w:num w:numId="8">
    <w:abstractNumId w:val="7"/>
  </w:num>
  <w:num w:numId="9">
    <w:abstractNumId w:val="20"/>
  </w:num>
  <w:num w:numId="10">
    <w:abstractNumId w:val="24"/>
  </w:num>
  <w:num w:numId="11">
    <w:abstractNumId w:val="25"/>
  </w:num>
  <w:num w:numId="12">
    <w:abstractNumId w:val="11"/>
  </w:num>
  <w:num w:numId="13">
    <w:abstractNumId w:val="23"/>
  </w:num>
  <w:num w:numId="14">
    <w:abstractNumId w:val="36"/>
  </w:num>
  <w:num w:numId="15">
    <w:abstractNumId w:val="1"/>
  </w:num>
  <w:num w:numId="16">
    <w:abstractNumId w:val="0"/>
  </w:num>
  <w:num w:numId="17">
    <w:abstractNumId w:val="10"/>
  </w:num>
  <w:num w:numId="18">
    <w:abstractNumId w:val="6"/>
  </w:num>
  <w:num w:numId="19">
    <w:abstractNumId w:val="5"/>
  </w:num>
  <w:num w:numId="20">
    <w:abstractNumId w:val="30"/>
  </w:num>
  <w:num w:numId="21">
    <w:abstractNumId w:val="32"/>
  </w:num>
  <w:num w:numId="22">
    <w:abstractNumId w:val="31"/>
  </w:num>
  <w:num w:numId="23">
    <w:abstractNumId w:val="34"/>
  </w:num>
  <w:num w:numId="24">
    <w:abstractNumId w:val="9"/>
  </w:num>
  <w:num w:numId="25">
    <w:abstractNumId w:val="16"/>
  </w:num>
  <w:num w:numId="26">
    <w:abstractNumId w:val="21"/>
  </w:num>
  <w:num w:numId="27">
    <w:abstractNumId w:val="19"/>
  </w:num>
  <w:num w:numId="28">
    <w:abstractNumId w:val="3"/>
  </w:num>
  <w:num w:numId="29">
    <w:abstractNumId w:val="22"/>
  </w:num>
  <w:num w:numId="30">
    <w:abstractNumId w:val="18"/>
  </w:num>
  <w:num w:numId="31">
    <w:abstractNumId w:val="13"/>
  </w:num>
  <w:num w:numId="32">
    <w:abstractNumId w:val="26"/>
  </w:num>
  <w:num w:numId="33">
    <w:abstractNumId w:val="4"/>
  </w:num>
  <w:num w:numId="34">
    <w:abstractNumId w:val="14"/>
  </w:num>
  <w:num w:numId="35">
    <w:abstractNumId w:val="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Normal Left;Heading 3;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B31B05"/>
    <w:rsid w:val="00B31B05"/>
    <w:rsid w:val="00C922A8"/>
    <w:rsid w:val="00F9213F"/>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BACBBF-AE39-4136-B409-F40CACB9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7735D2"/>
    <w:pPr>
      <w:keepNext/>
      <w:numPr>
        <w:ilvl w:val="2"/>
        <w:numId w:val="7"/>
      </w:numPr>
      <w:jc w:val="left"/>
      <w:outlineLvl w:val="2"/>
    </w:pPr>
    <w:rPr>
      <w:b/>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after="6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after="6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after="6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after="6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after="6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974E59"/>
    <w:pPr>
      <w:jc w:val="left"/>
    </w:pPr>
    <w:rPr>
      <w:b/>
      <w:i/>
    </w:r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9D3294"/>
    <w:pPr>
      <w:keepNext/>
      <w:tabs>
        <w:tab w:val="left" w:pos="850"/>
      </w:tabs>
      <w:ind w:left="851" w:hanging="851"/>
      <w:jc w:val="left"/>
      <w:outlineLvl w:val="2"/>
    </w:pPr>
    <w:rPr>
      <w:b/>
      <w:i/>
      <w:color w:val="000000"/>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jc w:val="left"/>
    </w:pPr>
    <w:rPr>
      <w:szCs w:val="20"/>
    </w:rPr>
  </w:style>
  <w:style w:type="paragraph" w:customStyle="1" w:styleId="AddressTR">
    <w:name w:val="AddressTR"/>
    <w:basedOn w:val="Normal"/>
    <w:next w:val="Normal"/>
    <w:rsid w:val="00433D00"/>
    <w:pPr>
      <w:spacing w:before="0" w:after="720"/>
      <w:ind w:left="5103"/>
      <w:jc w:val="left"/>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jc w:val="left"/>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jc w:val="left"/>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jc w:val="left"/>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jc w:val="left"/>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5"/>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jc w:val="left"/>
    </w:pPr>
    <w:rPr>
      <w:b/>
      <w:szCs w:val="20"/>
    </w:rPr>
  </w:style>
  <w:style w:type="paragraph" w:customStyle="1" w:styleId="NoteList">
    <w:name w:val="NoteList"/>
    <w:basedOn w:val="Normal"/>
    <w:next w:val="Subject"/>
    <w:rsid w:val="00433D00"/>
    <w:pPr>
      <w:tabs>
        <w:tab w:val="left" w:pos="5823"/>
      </w:tabs>
      <w:spacing w:before="720" w:after="720"/>
      <w:ind w:left="5104" w:hanging="3119"/>
      <w:jc w:val="left"/>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after="6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after="6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jc w:val="left"/>
    </w:pPr>
    <w:rPr>
      <w:szCs w:val="20"/>
    </w:rPr>
  </w:style>
  <w:style w:type="paragraph" w:customStyle="1" w:styleId="DisclaimerNotice">
    <w:name w:val="Disclaimer Notice"/>
    <w:basedOn w:val="Normal"/>
    <w:next w:val="AddressTR"/>
    <w:rsid w:val="00433D00"/>
    <w:pPr>
      <w:spacing w:before="0" w:after="240"/>
      <w:ind w:left="5103"/>
      <w:jc w:val="left"/>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jc w:val="left"/>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3"/>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C90C3-11B6-448A-AED0-9C733C4F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Pages>
  <Words>5643</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Monica Elena Cristea</cp:lastModifiedBy>
  <cp:revision>3</cp:revision>
  <cp:lastPrinted>2014-01-16T08:05:00Z</cp:lastPrinted>
  <dcterms:created xsi:type="dcterms:W3CDTF">2016-10-24T09:20:00Z</dcterms:created>
  <dcterms:modified xsi:type="dcterms:W3CDTF">2016-10-24T09:20:00Z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20141001</vt:lpwstr>
  </property>
  <property fmtid="{D5CDD505-2E9C-101B-9397-08002B2CF9AE}" pid="7" name="LWTemplateID">
    <vt:lpwstr>SJ-030</vt:lpwstr>
  </property>
  <property fmtid="{D5CDD505-2E9C-101B-9397-08002B2CF9AE}" pid="8" name="Version">
    <vt:lpwstr>5.8.64.0</vt:lpwstr>
  </property>
</Properties>
</file>